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1A" w:rsidRPr="00C00554" w:rsidRDefault="00315F1A" w:rsidP="00693936">
      <w:pPr>
        <w:widowControl w:val="0"/>
        <w:suppressAutoHyphens/>
        <w:spacing w:line="480" w:lineRule="auto"/>
        <w:ind w:firstLine="1418"/>
        <w:jc w:val="both"/>
        <w:rPr>
          <w:rFonts w:ascii="Arial" w:hAnsi="Arial" w:cs="Arial"/>
          <w:sz w:val="22"/>
          <w:szCs w:val="22"/>
        </w:rPr>
      </w:pPr>
    </w:p>
    <w:p w:rsidR="0027466B" w:rsidRPr="00C00554" w:rsidRDefault="0027466B" w:rsidP="0027466B">
      <w:pPr>
        <w:spacing w:line="360" w:lineRule="auto"/>
        <w:jc w:val="center"/>
        <w:rPr>
          <w:rFonts w:ascii="Arial" w:hAnsi="Arial" w:cs="Arial"/>
          <w:b/>
          <w:sz w:val="22"/>
          <w:szCs w:val="22"/>
          <w:u w:val="single"/>
        </w:rPr>
      </w:pPr>
      <w:bookmarkStart w:id="0" w:name="_GoBack"/>
      <w:bookmarkEnd w:id="0"/>
      <w:r w:rsidRPr="00C00554">
        <w:rPr>
          <w:rFonts w:ascii="Arial" w:hAnsi="Arial" w:cs="Arial"/>
          <w:b/>
          <w:sz w:val="22"/>
          <w:szCs w:val="22"/>
          <w:u w:val="single"/>
        </w:rPr>
        <w:t xml:space="preserve">ANEXO </w:t>
      </w:r>
      <w:r w:rsidR="0060729B">
        <w:rPr>
          <w:rFonts w:ascii="Arial" w:hAnsi="Arial" w:cs="Arial"/>
          <w:b/>
          <w:sz w:val="22"/>
          <w:szCs w:val="22"/>
          <w:u w:val="single"/>
        </w:rPr>
        <w:t>I de la RESOLUCIÓN ENRE Nº 621</w:t>
      </w:r>
      <w:r w:rsidRPr="00C00554">
        <w:rPr>
          <w:rFonts w:ascii="Arial" w:hAnsi="Arial" w:cs="Arial"/>
          <w:b/>
          <w:sz w:val="22"/>
          <w:szCs w:val="22"/>
          <w:u w:val="single"/>
        </w:rPr>
        <w:t>/2017</w:t>
      </w:r>
    </w:p>
    <w:p w:rsidR="0027466B" w:rsidRPr="00C00554" w:rsidRDefault="0027466B" w:rsidP="0027466B">
      <w:pPr>
        <w:spacing w:line="360" w:lineRule="auto"/>
        <w:jc w:val="center"/>
        <w:rPr>
          <w:rFonts w:ascii="Arial" w:hAnsi="Arial" w:cs="Arial"/>
          <w:sz w:val="22"/>
          <w:szCs w:val="22"/>
        </w:rPr>
      </w:pPr>
    </w:p>
    <w:p w:rsidR="0027466B" w:rsidRPr="00C00554" w:rsidRDefault="0027466B" w:rsidP="00750987">
      <w:pPr>
        <w:spacing w:line="360" w:lineRule="auto"/>
        <w:jc w:val="center"/>
        <w:rPr>
          <w:rFonts w:ascii="Arial" w:hAnsi="Arial" w:cs="Arial"/>
          <w:sz w:val="22"/>
          <w:szCs w:val="22"/>
          <w:u w:val="single"/>
        </w:rPr>
      </w:pPr>
      <w:r w:rsidRPr="00C00554">
        <w:rPr>
          <w:rFonts w:ascii="Arial" w:hAnsi="Arial" w:cs="Arial"/>
          <w:sz w:val="22"/>
          <w:szCs w:val="22"/>
          <w:u w:val="single"/>
        </w:rPr>
        <w:t>Criterios sancionatorios para las anomalías por seguridad pública detectadas en las instalaciones de las empresas distribuidoras de energía eléctrica EDENOR S.A. y EDESUR S.A.</w:t>
      </w:r>
    </w:p>
    <w:p w:rsidR="0027466B" w:rsidRPr="00C00554" w:rsidRDefault="0027466B" w:rsidP="0027466B">
      <w:pPr>
        <w:spacing w:line="360" w:lineRule="auto"/>
        <w:jc w:val="both"/>
        <w:rPr>
          <w:rFonts w:ascii="Arial" w:hAnsi="Arial" w:cs="Arial"/>
          <w:sz w:val="22"/>
          <w:szCs w:val="22"/>
        </w:rPr>
      </w:pPr>
    </w:p>
    <w:p w:rsidR="0027466B" w:rsidRPr="00C00554" w:rsidRDefault="0027466B" w:rsidP="0027466B">
      <w:pPr>
        <w:numPr>
          <w:ilvl w:val="0"/>
          <w:numId w:val="1"/>
        </w:numPr>
        <w:spacing w:line="360" w:lineRule="auto"/>
        <w:ind w:left="0" w:firstLine="0"/>
        <w:jc w:val="both"/>
        <w:rPr>
          <w:rFonts w:ascii="Arial" w:hAnsi="Arial" w:cs="Arial"/>
          <w:b/>
          <w:sz w:val="22"/>
          <w:szCs w:val="22"/>
        </w:rPr>
      </w:pPr>
      <w:r w:rsidRPr="00C00554">
        <w:rPr>
          <w:rFonts w:ascii="Arial" w:hAnsi="Arial" w:cs="Arial"/>
          <w:b/>
          <w:sz w:val="22"/>
          <w:szCs w:val="22"/>
        </w:rPr>
        <w:t>Módulos de sanción</w:t>
      </w:r>
    </w:p>
    <w:p w:rsidR="0027466B" w:rsidRPr="00C00554" w:rsidRDefault="0027466B" w:rsidP="0027466B">
      <w:pPr>
        <w:spacing w:line="360" w:lineRule="auto"/>
        <w:jc w:val="both"/>
        <w:rPr>
          <w:rFonts w:ascii="Arial" w:hAnsi="Arial" w:cs="Arial"/>
          <w:b/>
          <w:sz w:val="22"/>
          <w:szCs w:val="22"/>
        </w:rPr>
      </w:pP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La siguiente tabla representa los nuevos módulos de sanción asociados a las 4 categorías de riesgo definidas en la Resolución ENRE N° 421/2011, así como el factor de bonificación vinculado al cumplimiento de los plazos establecidos, identificado como buen desempeño de las empresas.</w:t>
      </w:r>
    </w:p>
    <w:p w:rsidR="0027466B" w:rsidRPr="00C00554" w:rsidRDefault="0027466B" w:rsidP="0027466B">
      <w:pPr>
        <w:spacing w:line="360" w:lineRule="auto"/>
        <w:ind w:left="720"/>
        <w:jc w:val="both"/>
        <w:rPr>
          <w:rFonts w:ascii="Arial" w:hAnsi="Arial" w:cs="Arial"/>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085"/>
        <w:gridCol w:w="1639"/>
        <w:gridCol w:w="1462"/>
        <w:gridCol w:w="2224"/>
      </w:tblGrid>
      <w:tr w:rsidR="0027466B" w:rsidRPr="00C00554" w:rsidTr="0027466B">
        <w:trPr>
          <w:trHeight w:val="622"/>
          <w:jc w:val="center"/>
        </w:trPr>
        <w:tc>
          <w:tcPr>
            <w:tcW w:w="2374"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Grado de Riesgo</w:t>
            </w:r>
          </w:p>
        </w:tc>
        <w:tc>
          <w:tcPr>
            <w:tcW w:w="1085"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Plazo otorgado en días</w:t>
            </w:r>
          </w:p>
        </w:tc>
        <w:tc>
          <w:tcPr>
            <w:tcW w:w="1639"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Monto en KWh   Plazo cumplido</w:t>
            </w:r>
          </w:p>
        </w:tc>
        <w:tc>
          <w:tcPr>
            <w:tcW w:w="1462"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 xml:space="preserve">Monto en KWh </w:t>
            </w:r>
          </w:p>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 xml:space="preserve"> Plazo incumplido</w:t>
            </w:r>
          </w:p>
        </w:tc>
        <w:tc>
          <w:tcPr>
            <w:tcW w:w="2224"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Plazo adicional por reparación provisoria a definitiva</w:t>
            </w:r>
          </w:p>
        </w:tc>
      </w:tr>
      <w:tr w:rsidR="0027466B" w:rsidRPr="00C00554" w:rsidTr="0027466B">
        <w:trPr>
          <w:trHeight w:val="207"/>
          <w:jc w:val="center"/>
        </w:trPr>
        <w:tc>
          <w:tcPr>
            <w:tcW w:w="2374" w:type="dxa"/>
            <w:shd w:val="clear" w:color="auto" w:fill="auto"/>
          </w:tcPr>
          <w:p w:rsidR="0027466B" w:rsidRPr="00C00554" w:rsidRDefault="0027466B" w:rsidP="00AB5822">
            <w:pPr>
              <w:numPr>
                <w:ilvl w:val="0"/>
                <w:numId w:val="2"/>
              </w:numPr>
              <w:spacing w:line="360" w:lineRule="auto"/>
              <w:jc w:val="both"/>
              <w:rPr>
                <w:rFonts w:ascii="Arial" w:hAnsi="Arial" w:cs="Arial"/>
                <w:sz w:val="22"/>
                <w:szCs w:val="22"/>
              </w:rPr>
            </w:pPr>
            <w:r w:rsidRPr="00C00554">
              <w:rPr>
                <w:rFonts w:ascii="Arial" w:hAnsi="Arial" w:cs="Arial"/>
                <w:sz w:val="22"/>
                <w:szCs w:val="22"/>
              </w:rPr>
              <w:t>Mayor Riesgo</w:t>
            </w:r>
          </w:p>
        </w:tc>
        <w:tc>
          <w:tcPr>
            <w:tcW w:w="1085"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1</w:t>
            </w:r>
          </w:p>
        </w:tc>
        <w:tc>
          <w:tcPr>
            <w:tcW w:w="1639"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30.000</w:t>
            </w:r>
          </w:p>
        </w:tc>
        <w:tc>
          <w:tcPr>
            <w:tcW w:w="1462"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90.000</w:t>
            </w:r>
          </w:p>
        </w:tc>
        <w:tc>
          <w:tcPr>
            <w:tcW w:w="2224"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5</w:t>
            </w:r>
          </w:p>
        </w:tc>
      </w:tr>
      <w:tr w:rsidR="0027466B" w:rsidRPr="00C00554" w:rsidTr="0027466B">
        <w:trPr>
          <w:trHeight w:val="207"/>
          <w:jc w:val="center"/>
        </w:trPr>
        <w:tc>
          <w:tcPr>
            <w:tcW w:w="2374" w:type="dxa"/>
            <w:shd w:val="clear" w:color="auto" w:fill="auto"/>
          </w:tcPr>
          <w:p w:rsidR="0027466B" w:rsidRPr="00C00554" w:rsidRDefault="0027466B" w:rsidP="00AB5822">
            <w:pPr>
              <w:numPr>
                <w:ilvl w:val="0"/>
                <w:numId w:val="2"/>
              </w:numPr>
              <w:spacing w:line="360" w:lineRule="auto"/>
              <w:jc w:val="both"/>
              <w:rPr>
                <w:rFonts w:ascii="Arial" w:hAnsi="Arial" w:cs="Arial"/>
                <w:sz w:val="22"/>
                <w:szCs w:val="22"/>
              </w:rPr>
            </w:pPr>
            <w:r w:rsidRPr="00C00554">
              <w:rPr>
                <w:rFonts w:ascii="Arial" w:hAnsi="Arial" w:cs="Arial"/>
                <w:sz w:val="22"/>
                <w:szCs w:val="22"/>
              </w:rPr>
              <w:t>Riesgo medio alto</w:t>
            </w:r>
          </w:p>
        </w:tc>
        <w:tc>
          <w:tcPr>
            <w:tcW w:w="1085"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5</w:t>
            </w:r>
          </w:p>
        </w:tc>
        <w:tc>
          <w:tcPr>
            <w:tcW w:w="1639"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10.000</w:t>
            </w:r>
          </w:p>
        </w:tc>
        <w:tc>
          <w:tcPr>
            <w:tcW w:w="1462"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30.000</w:t>
            </w:r>
          </w:p>
        </w:tc>
        <w:tc>
          <w:tcPr>
            <w:tcW w:w="2224"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30</w:t>
            </w:r>
          </w:p>
        </w:tc>
      </w:tr>
      <w:tr w:rsidR="0027466B" w:rsidRPr="00C00554" w:rsidTr="0027466B">
        <w:trPr>
          <w:trHeight w:val="207"/>
          <w:jc w:val="center"/>
        </w:trPr>
        <w:tc>
          <w:tcPr>
            <w:tcW w:w="2374" w:type="dxa"/>
            <w:shd w:val="clear" w:color="auto" w:fill="auto"/>
          </w:tcPr>
          <w:p w:rsidR="0027466B" w:rsidRPr="00C00554" w:rsidRDefault="0027466B" w:rsidP="00AB5822">
            <w:pPr>
              <w:numPr>
                <w:ilvl w:val="0"/>
                <w:numId w:val="2"/>
              </w:numPr>
              <w:spacing w:line="360" w:lineRule="auto"/>
              <w:jc w:val="both"/>
              <w:rPr>
                <w:rFonts w:ascii="Arial" w:hAnsi="Arial" w:cs="Arial"/>
                <w:sz w:val="22"/>
                <w:szCs w:val="22"/>
              </w:rPr>
            </w:pPr>
            <w:r w:rsidRPr="00C00554">
              <w:rPr>
                <w:rFonts w:ascii="Arial" w:hAnsi="Arial" w:cs="Arial"/>
                <w:sz w:val="22"/>
                <w:szCs w:val="22"/>
              </w:rPr>
              <w:t>Riesgo Medio bajo</w:t>
            </w:r>
          </w:p>
        </w:tc>
        <w:tc>
          <w:tcPr>
            <w:tcW w:w="1085"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10</w:t>
            </w:r>
          </w:p>
        </w:tc>
        <w:tc>
          <w:tcPr>
            <w:tcW w:w="1639"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5.000</w:t>
            </w:r>
          </w:p>
        </w:tc>
        <w:tc>
          <w:tcPr>
            <w:tcW w:w="1462"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15.000</w:t>
            </w:r>
          </w:p>
        </w:tc>
        <w:tc>
          <w:tcPr>
            <w:tcW w:w="2224"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45</w:t>
            </w:r>
          </w:p>
        </w:tc>
      </w:tr>
      <w:tr w:rsidR="0027466B" w:rsidRPr="00C00554" w:rsidTr="0027466B">
        <w:trPr>
          <w:trHeight w:val="220"/>
          <w:jc w:val="center"/>
        </w:trPr>
        <w:tc>
          <w:tcPr>
            <w:tcW w:w="2374" w:type="dxa"/>
            <w:shd w:val="clear" w:color="auto" w:fill="auto"/>
          </w:tcPr>
          <w:p w:rsidR="0027466B" w:rsidRPr="00C00554" w:rsidRDefault="0027466B" w:rsidP="00AB5822">
            <w:pPr>
              <w:numPr>
                <w:ilvl w:val="0"/>
                <w:numId w:val="2"/>
              </w:numPr>
              <w:spacing w:line="360" w:lineRule="auto"/>
              <w:jc w:val="both"/>
              <w:rPr>
                <w:rFonts w:ascii="Arial" w:hAnsi="Arial" w:cs="Arial"/>
                <w:sz w:val="22"/>
                <w:szCs w:val="22"/>
              </w:rPr>
            </w:pPr>
            <w:r w:rsidRPr="00C00554">
              <w:rPr>
                <w:rFonts w:ascii="Arial" w:hAnsi="Arial" w:cs="Arial"/>
                <w:sz w:val="22"/>
                <w:szCs w:val="22"/>
              </w:rPr>
              <w:t>Riesgo Bajo</w:t>
            </w:r>
          </w:p>
        </w:tc>
        <w:tc>
          <w:tcPr>
            <w:tcW w:w="1085"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10</w:t>
            </w:r>
          </w:p>
        </w:tc>
        <w:tc>
          <w:tcPr>
            <w:tcW w:w="1639"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1.000</w:t>
            </w:r>
          </w:p>
        </w:tc>
        <w:tc>
          <w:tcPr>
            <w:tcW w:w="1462"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3.000</w:t>
            </w:r>
          </w:p>
        </w:tc>
        <w:tc>
          <w:tcPr>
            <w:tcW w:w="2224" w:type="dxa"/>
            <w:shd w:val="clear" w:color="auto" w:fill="auto"/>
          </w:tcPr>
          <w:p w:rsidR="0027466B" w:rsidRPr="00C00554" w:rsidRDefault="0027466B" w:rsidP="00AB5822">
            <w:pPr>
              <w:spacing w:line="360" w:lineRule="auto"/>
              <w:jc w:val="both"/>
              <w:rPr>
                <w:rFonts w:ascii="Arial" w:hAnsi="Arial" w:cs="Arial"/>
                <w:sz w:val="22"/>
                <w:szCs w:val="22"/>
              </w:rPr>
            </w:pPr>
            <w:r w:rsidRPr="00C00554">
              <w:rPr>
                <w:rFonts w:ascii="Arial" w:hAnsi="Arial" w:cs="Arial"/>
                <w:sz w:val="22"/>
                <w:szCs w:val="22"/>
              </w:rPr>
              <w:t>60</w:t>
            </w:r>
          </w:p>
        </w:tc>
      </w:tr>
    </w:tbl>
    <w:p w:rsidR="0027466B" w:rsidRPr="00C00554" w:rsidRDefault="0027466B" w:rsidP="0027466B">
      <w:pPr>
        <w:spacing w:line="360" w:lineRule="auto"/>
        <w:ind w:left="720"/>
        <w:jc w:val="both"/>
        <w:rPr>
          <w:rFonts w:ascii="Arial" w:hAnsi="Arial" w:cs="Arial"/>
          <w:sz w:val="22"/>
          <w:szCs w:val="22"/>
        </w:rPr>
      </w:pPr>
      <w:r w:rsidRPr="00C00554">
        <w:rPr>
          <w:rFonts w:ascii="Arial" w:hAnsi="Arial" w:cs="Arial"/>
          <w:sz w:val="22"/>
          <w:szCs w:val="22"/>
        </w:rPr>
        <w:t xml:space="preserve">  </w:t>
      </w:r>
    </w:p>
    <w:p w:rsidR="0027466B" w:rsidRPr="00C00554" w:rsidRDefault="0027466B" w:rsidP="0027466B">
      <w:pPr>
        <w:spacing w:line="360" w:lineRule="auto"/>
        <w:ind w:left="720"/>
        <w:jc w:val="both"/>
        <w:rPr>
          <w:rFonts w:ascii="Arial" w:hAnsi="Arial" w:cs="Arial"/>
          <w:sz w:val="22"/>
          <w:szCs w:val="22"/>
        </w:rPr>
      </w:pPr>
    </w:p>
    <w:p w:rsidR="0027466B" w:rsidRPr="00C00554" w:rsidRDefault="0027466B" w:rsidP="0027466B">
      <w:pPr>
        <w:numPr>
          <w:ilvl w:val="0"/>
          <w:numId w:val="1"/>
        </w:numPr>
        <w:spacing w:line="360" w:lineRule="auto"/>
        <w:ind w:left="142" w:hanging="142"/>
        <w:jc w:val="both"/>
        <w:rPr>
          <w:rFonts w:ascii="Arial" w:hAnsi="Arial" w:cs="Arial"/>
          <w:b/>
          <w:sz w:val="22"/>
          <w:szCs w:val="22"/>
        </w:rPr>
      </w:pPr>
      <w:r w:rsidRPr="00C00554">
        <w:rPr>
          <w:rFonts w:ascii="Arial" w:hAnsi="Arial" w:cs="Arial"/>
          <w:b/>
          <w:sz w:val="22"/>
          <w:szCs w:val="22"/>
        </w:rPr>
        <w:t>Necesidad de acreditación suficiente de las acciones realizadas.</w:t>
      </w:r>
    </w:p>
    <w:p w:rsidR="0027466B" w:rsidRPr="00C00554" w:rsidRDefault="0027466B" w:rsidP="0027466B">
      <w:pPr>
        <w:spacing w:line="360" w:lineRule="auto"/>
        <w:jc w:val="both"/>
        <w:rPr>
          <w:rFonts w:ascii="Arial" w:hAnsi="Arial" w:cs="Arial"/>
          <w:sz w:val="22"/>
          <w:szCs w:val="22"/>
        </w:rPr>
      </w:pP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 xml:space="preserve">Para dar por cumplidos los plazos determinados en la tabla anterior la empresa deberá acreditar fehacientemente en el sistema informático las acciones tomadas para superar las anomalías dando satisfacción a los requerimientos de acuerdo a la normativa vigente a fin de obtener la bonificación. Caso contrario no solo se le aplicarán los agravamientos, considerando un incumplimiento de plazos en los términos del cuadro del punto 1, sino que también podrá configurarse un incumplimiento al inc. x) del art. 25 de su contrato de concesión. </w:t>
      </w:r>
    </w:p>
    <w:p w:rsidR="0027466B" w:rsidRPr="00C00554" w:rsidRDefault="0027466B" w:rsidP="0027466B">
      <w:pPr>
        <w:spacing w:line="360" w:lineRule="auto"/>
        <w:ind w:left="142" w:hanging="142"/>
        <w:jc w:val="both"/>
        <w:rPr>
          <w:rFonts w:ascii="Arial" w:hAnsi="Arial" w:cs="Arial"/>
          <w:sz w:val="22"/>
          <w:szCs w:val="22"/>
        </w:rPr>
      </w:pPr>
    </w:p>
    <w:p w:rsidR="0027466B" w:rsidRPr="00C00554" w:rsidRDefault="0027466B" w:rsidP="0027466B">
      <w:pPr>
        <w:numPr>
          <w:ilvl w:val="0"/>
          <w:numId w:val="1"/>
        </w:numPr>
        <w:spacing w:line="360" w:lineRule="auto"/>
        <w:ind w:left="0" w:firstLine="0"/>
        <w:jc w:val="both"/>
        <w:rPr>
          <w:rFonts w:ascii="Arial" w:hAnsi="Arial" w:cs="Arial"/>
          <w:sz w:val="22"/>
          <w:szCs w:val="22"/>
        </w:rPr>
      </w:pPr>
      <w:r w:rsidRPr="00C00554">
        <w:rPr>
          <w:rFonts w:ascii="Arial" w:hAnsi="Arial" w:cs="Arial"/>
          <w:b/>
          <w:sz w:val="22"/>
          <w:szCs w:val="22"/>
        </w:rPr>
        <w:t>Reclamos de usuarios y/o de oficio recibidos en el curso de una Situación No habitual</w:t>
      </w:r>
      <w:r w:rsidRPr="00C00554">
        <w:rPr>
          <w:rFonts w:ascii="Arial" w:hAnsi="Arial" w:cs="Arial"/>
          <w:sz w:val="22"/>
          <w:szCs w:val="22"/>
        </w:rPr>
        <w:t>.</w:t>
      </w:r>
    </w:p>
    <w:p w:rsidR="0027466B" w:rsidRPr="00C00554" w:rsidRDefault="0027466B" w:rsidP="0027466B">
      <w:pPr>
        <w:spacing w:line="360" w:lineRule="auto"/>
        <w:jc w:val="both"/>
        <w:rPr>
          <w:rFonts w:ascii="Arial" w:hAnsi="Arial" w:cs="Arial"/>
          <w:b/>
          <w:sz w:val="22"/>
          <w:szCs w:val="22"/>
        </w:rPr>
      </w:pP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Se considerará el concepto y procedimientos actualmente vigentes para declarar una Situación No habitual y se aplicará discriminando por Partido. El DSP definirá la forma concreta de su aplicación.</w:t>
      </w:r>
    </w:p>
    <w:p w:rsidR="0027466B" w:rsidRPr="00C00554" w:rsidRDefault="0027466B" w:rsidP="0027466B">
      <w:pPr>
        <w:spacing w:line="360" w:lineRule="auto"/>
        <w:jc w:val="both"/>
        <w:rPr>
          <w:rFonts w:ascii="Arial" w:hAnsi="Arial" w:cs="Arial"/>
          <w:sz w:val="22"/>
          <w:szCs w:val="22"/>
        </w:rPr>
      </w:pPr>
    </w:p>
    <w:p w:rsidR="0027466B" w:rsidRPr="00C00554" w:rsidRDefault="0027466B" w:rsidP="0027466B">
      <w:pPr>
        <w:numPr>
          <w:ilvl w:val="0"/>
          <w:numId w:val="1"/>
        </w:numPr>
        <w:spacing w:line="360" w:lineRule="auto"/>
        <w:ind w:left="142" w:hanging="142"/>
        <w:jc w:val="both"/>
        <w:rPr>
          <w:rFonts w:ascii="Arial" w:hAnsi="Arial" w:cs="Arial"/>
          <w:b/>
          <w:sz w:val="22"/>
          <w:szCs w:val="22"/>
        </w:rPr>
      </w:pPr>
      <w:r w:rsidRPr="00C00554">
        <w:rPr>
          <w:rFonts w:ascii="Arial" w:hAnsi="Arial" w:cs="Arial"/>
          <w:b/>
          <w:sz w:val="22"/>
          <w:szCs w:val="22"/>
        </w:rPr>
        <w:t>Requisitos para aceptar las Reparaciones provisorias como tal.</w:t>
      </w:r>
    </w:p>
    <w:p w:rsidR="0027466B" w:rsidRPr="00C00554" w:rsidRDefault="0027466B" w:rsidP="0027466B">
      <w:pPr>
        <w:spacing w:line="360" w:lineRule="auto"/>
        <w:ind w:left="142"/>
        <w:jc w:val="both"/>
        <w:rPr>
          <w:rFonts w:ascii="Arial" w:hAnsi="Arial" w:cs="Arial"/>
          <w:b/>
          <w:sz w:val="22"/>
          <w:szCs w:val="22"/>
        </w:rPr>
      </w:pP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Se considera la posibilidad de efectuar reparaciones provisorias en aquellas anomalías que así lo justificaran tanto por situación de no interrumpir el servicio sin aviso y programación previa como por otras razones debidamente justificadas, siempre y cuando las mismas dejen a resguardo la seguridad pública. La empresa debe programar y realizar la reparación definitiva de la instalación sin excepción.</w:t>
      </w: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En el cuadro del punto 1, se definen por categoría de riesgo, los plazos máximos estimados para este tipo de reparaciones. Si las empresas no los cumplieran serán pasibles de sanción por esta causa, considerándola para cada anomalía el plazo incumplido y la sanción agravada.</w:t>
      </w:r>
    </w:p>
    <w:p w:rsidR="0027466B" w:rsidRPr="00C00554" w:rsidRDefault="0027466B" w:rsidP="0027466B">
      <w:pPr>
        <w:spacing w:line="360" w:lineRule="auto"/>
        <w:ind w:left="142" w:hanging="142"/>
        <w:jc w:val="both"/>
        <w:rPr>
          <w:rFonts w:ascii="Arial" w:hAnsi="Arial" w:cs="Arial"/>
          <w:sz w:val="22"/>
          <w:szCs w:val="22"/>
        </w:rPr>
      </w:pPr>
    </w:p>
    <w:p w:rsidR="0027466B" w:rsidRPr="00C00554" w:rsidRDefault="0027466B" w:rsidP="0027466B">
      <w:pPr>
        <w:numPr>
          <w:ilvl w:val="0"/>
          <w:numId w:val="1"/>
        </w:numPr>
        <w:spacing w:line="360" w:lineRule="auto"/>
        <w:ind w:left="142" w:hanging="142"/>
        <w:jc w:val="both"/>
        <w:rPr>
          <w:rFonts w:ascii="Arial" w:hAnsi="Arial" w:cs="Arial"/>
          <w:b/>
          <w:sz w:val="22"/>
          <w:szCs w:val="22"/>
        </w:rPr>
      </w:pPr>
      <w:r w:rsidRPr="00C00554">
        <w:rPr>
          <w:rFonts w:ascii="Arial" w:hAnsi="Arial" w:cs="Arial"/>
          <w:b/>
          <w:sz w:val="22"/>
          <w:szCs w:val="22"/>
        </w:rPr>
        <w:t>Anomalías en instalaciones del usuario</w:t>
      </w:r>
    </w:p>
    <w:p w:rsidR="0027466B" w:rsidRPr="00C00554" w:rsidRDefault="0027466B" w:rsidP="0027466B">
      <w:pPr>
        <w:spacing w:line="360" w:lineRule="auto"/>
        <w:ind w:left="142"/>
        <w:jc w:val="both"/>
        <w:rPr>
          <w:rFonts w:ascii="Arial" w:hAnsi="Arial" w:cs="Arial"/>
          <w:b/>
          <w:sz w:val="22"/>
          <w:szCs w:val="22"/>
        </w:rPr>
      </w:pP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 xml:space="preserve">Las anomalías pertenecientes a instalaciones del usuario no generarán incumplimientos para la empresa, siempre y cuando la misma acredite haber realizado el aviso al usuario para su reparación bajo apercibimiento de corte si así lo amerite, de acuerdo al reglamento de suministro. </w:t>
      </w: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La reparación de las anomalías pertenecientes al pilar y acometida corresponden a la empresa distribuidora.</w:t>
      </w:r>
    </w:p>
    <w:p w:rsidR="0027466B" w:rsidRPr="00C00554" w:rsidRDefault="0027466B" w:rsidP="0027466B">
      <w:pPr>
        <w:spacing w:line="360" w:lineRule="auto"/>
        <w:ind w:left="142" w:hanging="142"/>
        <w:jc w:val="both"/>
        <w:rPr>
          <w:rFonts w:ascii="Arial" w:hAnsi="Arial" w:cs="Arial"/>
          <w:sz w:val="22"/>
          <w:szCs w:val="22"/>
        </w:rPr>
      </w:pPr>
    </w:p>
    <w:p w:rsidR="0027466B" w:rsidRPr="00C00554" w:rsidRDefault="0027466B" w:rsidP="0027466B">
      <w:pPr>
        <w:numPr>
          <w:ilvl w:val="0"/>
          <w:numId w:val="1"/>
        </w:numPr>
        <w:spacing w:line="360" w:lineRule="auto"/>
        <w:ind w:left="142" w:hanging="142"/>
        <w:jc w:val="both"/>
        <w:rPr>
          <w:rFonts w:ascii="Arial" w:hAnsi="Arial" w:cs="Arial"/>
          <w:b/>
          <w:sz w:val="22"/>
          <w:szCs w:val="22"/>
        </w:rPr>
      </w:pPr>
      <w:r w:rsidRPr="00C00554">
        <w:rPr>
          <w:rFonts w:ascii="Arial" w:hAnsi="Arial" w:cs="Arial"/>
          <w:b/>
          <w:sz w:val="22"/>
          <w:szCs w:val="22"/>
        </w:rPr>
        <w:t>Reclamos de usuarios efectuados en forma previa a la distribuidora.</w:t>
      </w:r>
    </w:p>
    <w:p w:rsidR="0027466B" w:rsidRPr="00C00554" w:rsidRDefault="0027466B" w:rsidP="0027466B">
      <w:pPr>
        <w:spacing w:line="360" w:lineRule="auto"/>
        <w:ind w:left="142"/>
        <w:jc w:val="both"/>
        <w:rPr>
          <w:rFonts w:ascii="Arial" w:hAnsi="Arial" w:cs="Arial"/>
          <w:b/>
          <w:sz w:val="22"/>
          <w:szCs w:val="22"/>
        </w:rPr>
      </w:pP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 xml:space="preserve">En estos casos, si la distribuidora acredita fehacientemente al momento de recibir el reclamo ENRE, que ha recibido un reclamo </w:t>
      </w:r>
      <w:r w:rsidRPr="00C00554">
        <w:rPr>
          <w:rFonts w:ascii="Arial" w:hAnsi="Arial" w:cs="Arial"/>
          <w:sz w:val="22"/>
          <w:szCs w:val="22"/>
          <w:u w:val="single"/>
        </w:rPr>
        <w:t>previo</w:t>
      </w:r>
      <w:r w:rsidRPr="00C00554">
        <w:rPr>
          <w:rFonts w:ascii="Arial" w:hAnsi="Arial" w:cs="Arial"/>
          <w:sz w:val="22"/>
          <w:szCs w:val="22"/>
        </w:rPr>
        <w:t xml:space="preserve"> del mismo usuario y por la misma anomalía en su empresa y lo ha </w:t>
      </w:r>
      <w:r w:rsidRPr="00C00554">
        <w:rPr>
          <w:rFonts w:ascii="Arial" w:hAnsi="Arial" w:cs="Arial"/>
          <w:sz w:val="22"/>
          <w:szCs w:val="22"/>
          <w:u w:val="single"/>
        </w:rPr>
        <w:t>resuelto satisfactoriamente</w:t>
      </w:r>
      <w:r w:rsidRPr="00C00554">
        <w:rPr>
          <w:rFonts w:ascii="Arial" w:hAnsi="Arial" w:cs="Arial"/>
          <w:sz w:val="22"/>
          <w:szCs w:val="22"/>
        </w:rPr>
        <w:t>, no será pasible de sanción.</w:t>
      </w:r>
    </w:p>
    <w:p w:rsidR="0027466B" w:rsidRPr="00C00554" w:rsidRDefault="0027466B" w:rsidP="0027466B">
      <w:pPr>
        <w:spacing w:line="360" w:lineRule="auto"/>
        <w:jc w:val="both"/>
        <w:rPr>
          <w:rFonts w:ascii="Arial" w:hAnsi="Arial" w:cs="Arial"/>
          <w:sz w:val="22"/>
          <w:szCs w:val="22"/>
        </w:rPr>
      </w:pP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Los criterios precedentes serán de aplicación a partir del 1° de Enero de 2018 a todas las anomalías detectadas en los distintos controles a partir de esa fecha.</w:t>
      </w: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Previamente, las empresas adecuarán sus Sistemas administrativos, operativos e informáticos para garantizar el cumplimiento de este Instructivo, debiendo coordinar con el Área de Seguridad Pública y Ambiental y con el Departamento de Seguridad Pública los detalles operativos que pueda corresponder.</w:t>
      </w:r>
    </w:p>
    <w:p w:rsidR="0027466B" w:rsidRPr="00C00554" w:rsidRDefault="0027466B" w:rsidP="0027466B">
      <w:pPr>
        <w:spacing w:line="360" w:lineRule="auto"/>
        <w:jc w:val="both"/>
        <w:rPr>
          <w:rFonts w:ascii="Arial" w:hAnsi="Arial" w:cs="Arial"/>
          <w:sz w:val="22"/>
          <w:szCs w:val="22"/>
        </w:rPr>
      </w:pPr>
      <w:r w:rsidRPr="00C00554">
        <w:rPr>
          <w:rFonts w:ascii="Arial" w:hAnsi="Arial" w:cs="Arial"/>
          <w:sz w:val="22"/>
          <w:szCs w:val="22"/>
        </w:rPr>
        <w:t xml:space="preserve"> </w:t>
      </w:r>
    </w:p>
    <w:p w:rsidR="0027466B" w:rsidRPr="00C00554" w:rsidRDefault="0027466B" w:rsidP="007516EB">
      <w:pPr>
        <w:widowControl w:val="0"/>
        <w:suppressAutoHyphens/>
        <w:jc w:val="both"/>
        <w:rPr>
          <w:rFonts w:ascii="Arial" w:hAnsi="Arial" w:cs="Arial"/>
          <w:sz w:val="22"/>
          <w:szCs w:val="22"/>
        </w:rPr>
      </w:pPr>
    </w:p>
    <w:sectPr w:rsidR="0027466B" w:rsidRPr="00C00554" w:rsidSect="006C6B90">
      <w:headerReference w:type="default" r:id="rId7"/>
      <w:footerReference w:type="default" r:id="rId8"/>
      <w:pgSz w:w="11907" w:h="16840" w:code="9"/>
      <w:pgMar w:top="2268" w:right="680" w:bottom="1418" w:left="2268"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EE" w:rsidRDefault="00067CEE" w:rsidP="00851896">
      <w:r>
        <w:separator/>
      </w:r>
    </w:p>
  </w:endnote>
  <w:endnote w:type="continuationSeparator" w:id="0">
    <w:p w:rsidR="00067CEE" w:rsidRDefault="00067CEE" w:rsidP="0085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649825"/>
      <w:docPartObj>
        <w:docPartGallery w:val="Page Numbers (Bottom of Page)"/>
        <w:docPartUnique/>
      </w:docPartObj>
    </w:sdtPr>
    <w:sdtEndPr>
      <w:rPr>
        <w:rFonts w:ascii="Arial" w:hAnsi="Arial" w:cs="Arial"/>
        <w:sz w:val="16"/>
        <w:szCs w:val="16"/>
      </w:rPr>
    </w:sdtEndPr>
    <w:sdtContent>
      <w:p w:rsidR="00693936" w:rsidRPr="00693936" w:rsidRDefault="00693936">
        <w:pPr>
          <w:pStyle w:val="Piedepgina"/>
          <w:jc w:val="center"/>
          <w:rPr>
            <w:rFonts w:ascii="Arial" w:hAnsi="Arial" w:cs="Arial"/>
            <w:sz w:val="16"/>
            <w:szCs w:val="16"/>
          </w:rPr>
        </w:pPr>
        <w:r w:rsidRPr="00693936">
          <w:rPr>
            <w:rFonts w:ascii="Arial" w:hAnsi="Arial" w:cs="Arial"/>
            <w:sz w:val="16"/>
            <w:szCs w:val="16"/>
          </w:rPr>
          <w:fldChar w:fldCharType="begin"/>
        </w:r>
        <w:r w:rsidRPr="00693936">
          <w:rPr>
            <w:rFonts w:ascii="Arial" w:hAnsi="Arial" w:cs="Arial"/>
            <w:sz w:val="16"/>
            <w:szCs w:val="16"/>
          </w:rPr>
          <w:instrText>PAGE   \* MERGEFORMAT</w:instrText>
        </w:r>
        <w:r w:rsidRPr="00693936">
          <w:rPr>
            <w:rFonts w:ascii="Arial" w:hAnsi="Arial" w:cs="Arial"/>
            <w:sz w:val="16"/>
            <w:szCs w:val="16"/>
          </w:rPr>
          <w:fldChar w:fldCharType="separate"/>
        </w:r>
        <w:r w:rsidR="000C11B1" w:rsidRPr="000C11B1">
          <w:rPr>
            <w:rFonts w:ascii="Arial" w:hAnsi="Arial" w:cs="Arial"/>
            <w:noProof/>
            <w:sz w:val="16"/>
            <w:szCs w:val="16"/>
            <w:lang w:val="es-ES"/>
          </w:rPr>
          <w:t>2</w:t>
        </w:r>
        <w:r w:rsidRPr="00693936">
          <w:rPr>
            <w:rFonts w:ascii="Arial" w:hAnsi="Arial" w:cs="Arial"/>
            <w:sz w:val="16"/>
            <w:szCs w:val="16"/>
          </w:rPr>
          <w:fldChar w:fldCharType="end"/>
        </w:r>
      </w:p>
    </w:sdtContent>
  </w:sdt>
  <w:p w:rsidR="00017360" w:rsidRDefault="00017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EE" w:rsidRDefault="00067CEE" w:rsidP="00851896">
      <w:r>
        <w:separator/>
      </w:r>
    </w:p>
  </w:footnote>
  <w:footnote w:type="continuationSeparator" w:id="0">
    <w:p w:rsidR="00067CEE" w:rsidRDefault="00067CEE" w:rsidP="0085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5E0" w:firstRow="1" w:lastRow="1" w:firstColumn="1" w:lastColumn="1" w:noHBand="0" w:noVBand="1"/>
    </w:tblPr>
    <w:tblGrid>
      <w:gridCol w:w="4394"/>
      <w:gridCol w:w="4678"/>
    </w:tblGrid>
    <w:tr w:rsidR="00693936" w:rsidTr="007516EB">
      <w:tc>
        <w:tcPr>
          <w:tcW w:w="4394" w:type="dxa"/>
        </w:tcPr>
        <w:p w:rsidR="00693936" w:rsidRDefault="00693936">
          <w:pPr>
            <w:pStyle w:val="Encabezado"/>
          </w:pPr>
          <w:r>
            <w:rPr>
              <w:noProof/>
              <w:lang w:eastAsia="es-AR"/>
            </w:rPr>
            <w:drawing>
              <wp:inline distT="0" distB="0" distL="0" distR="0">
                <wp:extent cx="1428750" cy="714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678" w:type="dxa"/>
        </w:tcPr>
        <w:p w:rsidR="00693936" w:rsidRDefault="00693936" w:rsidP="00693936">
          <w:pPr>
            <w:pStyle w:val="Encabezado"/>
            <w:jc w:val="right"/>
          </w:pPr>
          <w:r>
            <w:rPr>
              <w:noProof/>
              <w:lang w:eastAsia="es-AR"/>
            </w:rPr>
            <w:drawing>
              <wp:inline distT="0" distB="0" distL="0" distR="0">
                <wp:extent cx="2314575" cy="171450"/>
                <wp:effectExtent l="0" t="0" r="9525" b="0"/>
                <wp:docPr id="4" name="Imagen 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851896" w:rsidRDefault="008518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141BF"/>
    <w:multiLevelType w:val="hybridMultilevel"/>
    <w:tmpl w:val="02725226"/>
    <w:lvl w:ilvl="0" w:tplc="D0E2021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E246F38"/>
    <w:multiLevelType w:val="hybridMultilevel"/>
    <w:tmpl w:val="067C34D0"/>
    <w:lvl w:ilvl="0" w:tplc="8E9EACEE">
      <w:start w:val="1"/>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26"/>
    <w:rsid w:val="00017360"/>
    <w:rsid w:val="00021CD2"/>
    <w:rsid w:val="00067CEE"/>
    <w:rsid w:val="000B3037"/>
    <w:rsid w:val="000C11B1"/>
    <w:rsid w:val="000E73B8"/>
    <w:rsid w:val="00191C01"/>
    <w:rsid w:val="001D172B"/>
    <w:rsid w:val="00222472"/>
    <w:rsid w:val="0027466B"/>
    <w:rsid w:val="00285166"/>
    <w:rsid w:val="002E781B"/>
    <w:rsid w:val="00315F1A"/>
    <w:rsid w:val="00374CCB"/>
    <w:rsid w:val="003F035E"/>
    <w:rsid w:val="004462E3"/>
    <w:rsid w:val="00452C0B"/>
    <w:rsid w:val="004A0F57"/>
    <w:rsid w:val="00510AC8"/>
    <w:rsid w:val="00596FBC"/>
    <w:rsid w:val="005E0575"/>
    <w:rsid w:val="0060729B"/>
    <w:rsid w:val="00613063"/>
    <w:rsid w:val="006357AA"/>
    <w:rsid w:val="006423FE"/>
    <w:rsid w:val="006440BD"/>
    <w:rsid w:val="00685AF8"/>
    <w:rsid w:val="00693936"/>
    <w:rsid w:val="006C6B90"/>
    <w:rsid w:val="006F5B26"/>
    <w:rsid w:val="00741E26"/>
    <w:rsid w:val="00750987"/>
    <w:rsid w:val="007516EB"/>
    <w:rsid w:val="007C06E2"/>
    <w:rsid w:val="00821CA4"/>
    <w:rsid w:val="00851896"/>
    <w:rsid w:val="008643BA"/>
    <w:rsid w:val="008A5FBF"/>
    <w:rsid w:val="008A5FCC"/>
    <w:rsid w:val="0097798A"/>
    <w:rsid w:val="009916D8"/>
    <w:rsid w:val="009E7DA6"/>
    <w:rsid w:val="009F5DFD"/>
    <w:rsid w:val="00A40A43"/>
    <w:rsid w:val="00AB25C2"/>
    <w:rsid w:val="00AB4293"/>
    <w:rsid w:val="00B7281F"/>
    <w:rsid w:val="00BA5137"/>
    <w:rsid w:val="00BF66D2"/>
    <w:rsid w:val="00C00554"/>
    <w:rsid w:val="00D153AF"/>
    <w:rsid w:val="00D15C54"/>
    <w:rsid w:val="00D67FA9"/>
    <w:rsid w:val="00DC153A"/>
    <w:rsid w:val="00DF437C"/>
    <w:rsid w:val="00E06870"/>
    <w:rsid w:val="00E150B3"/>
    <w:rsid w:val="00E569B6"/>
    <w:rsid w:val="00F17950"/>
    <w:rsid w:val="00F916E0"/>
    <w:rsid w:val="00F93C16"/>
    <w:rsid w:val="00FB41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E724B946-F3E9-41FB-BDD1-A52D3781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51896"/>
    <w:pPr>
      <w:tabs>
        <w:tab w:val="center" w:pos="4419"/>
        <w:tab w:val="right" w:pos="8838"/>
      </w:tabs>
    </w:pPr>
  </w:style>
  <w:style w:type="character" w:customStyle="1" w:styleId="EncabezadoCar">
    <w:name w:val="Encabezado Car"/>
    <w:basedOn w:val="Fuentedeprrafopredeter"/>
    <w:link w:val="Encabezado"/>
    <w:rsid w:val="00851896"/>
    <w:rPr>
      <w:sz w:val="24"/>
      <w:szCs w:val="24"/>
      <w:lang w:eastAsia="es-ES"/>
    </w:rPr>
  </w:style>
  <w:style w:type="paragraph" w:styleId="Piedepgina">
    <w:name w:val="footer"/>
    <w:basedOn w:val="Normal"/>
    <w:link w:val="PiedepginaCar"/>
    <w:uiPriority w:val="99"/>
    <w:rsid w:val="00851896"/>
    <w:pPr>
      <w:tabs>
        <w:tab w:val="center" w:pos="4419"/>
        <w:tab w:val="right" w:pos="8838"/>
      </w:tabs>
    </w:pPr>
  </w:style>
  <w:style w:type="character" w:customStyle="1" w:styleId="PiedepginaCar">
    <w:name w:val="Pie de página Car"/>
    <w:basedOn w:val="Fuentedeprrafopredeter"/>
    <w:link w:val="Piedepgina"/>
    <w:uiPriority w:val="99"/>
    <w:rsid w:val="00851896"/>
    <w:rPr>
      <w:sz w:val="24"/>
      <w:szCs w:val="24"/>
      <w:lang w:eastAsia="es-ES"/>
    </w:rPr>
  </w:style>
  <w:style w:type="table" w:styleId="Tablaconcuadrcula">
    <w:name w:val="Table Grid"/>
    <w:basedOn w:val="Tablanormal"/>
    <w:rsid w:val="0085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A5FCC"/>
    <w:rPr>
      <w:rFonts w:ascii="Segoe UI" w:hAnsi="Segoe UI" w:cs="Segoe UI"/>
      <w:sz w:val="18"/>
      <w:szCs w:val="18"/>
    </w:rPr>
  </w:style>
  <w:style w:type="character" w:customStyle="1" w:styleId="TextodegloboCar">
    <w:name w:val="Texto de globo Car"/>
    <w:basedOn w:val="Fuentedeprrafopredeter"/>
    <w:link w:val="Textodeglobo"/>
    <w:rsid w:val="008A5FCC"/>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568</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Garcia Cuerva</dc:creator>
  <cp:keywords/>
  <dc:description/>
  <cp:lastModifiedBy>Alejandro Bevilacqua</cp:lastModifiedBy>
  <cp:revision>14</cp:revision>
  <cp:lastPrinted>2017-12-15T15:01:00Z</cp:lastPrinted>
  <dcterms:created xsi:type="dcterms:W3CDTF">2017-12-14T19:31:00Z</dcterms:created>
  <dcterms:modified xsi:type="dcterms:W3CDTF">2017-12-18T12:26:00Z</dcterms:modified>
</cp:coreProperties>
</file>