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B2" w:rsidRPr="009452F9" w:rsidRDefault="00A068B2" w:rsidP="0075669D">
      <w:pPr>
        <w:widowControl w:val="0"/>
        <w:tabs>
          <w:tab w:val="left" w:pos="8647"/>
        </w:tabs>
        <w:suppressAutoHyphens/>
        <w:spacing w:line="480" w:lineRule="auto"/>
        <w:ind w:left="5379" w:hanging="1268"/>
        <w:jc w:val="both"/>
        <w:rPr>
          <w:rFonts w:ascii="Arial" w:hAnsi="Arial" w:cs="Arial"/>
          <w:sz w:val="22"/>
          <w:szCs w:val="22"/>
        </w:rPr>
      </w:pPr>
    </w:p>
    <w:p w:rsidR="00AE3D99" w:rsidRPr="009452F9" w:rsidRDefault="00770B1E" w:rsidP="00E71C7F">
      <w:pPr>
        <w:widowControl w:val="0"/>
        <w:tabs>
          <w:tab w:val="left" w:pos="8647"/>
        </w:tabs>
        <w:suppressAutoHyphens/>
        <w:spacing w:line="480" w:lineRule="auto"/>
        <w:ind w:left="5379" w:hanging="1268"/>
        <w:jc w:val="both"/>
        <w:rPr>
          <w:rFonts w:ascii="Arial" w:hAnsi="Arial" w:cs="Arial"/>
          <w:sz w:val="22"/>
          <w:szCs w:val="22"/>
        </w:rPr>
      </w:pPr>
      <w:r>
        <w:rPr>
          <w:rFonts w:ascii="Arial" w:hAnsi="Arial" w:cs="Arial"/>
          <w:sz w:val="22"/>
          <w:szCs w:val="22"/>
        </w:rPr>
        <w:t xml:space="preserve">   </w:t>
      </w:r>
    </w:p>
    <w:p w:rsidR="00B53983" w:rsidRPr="009452F9" w:rsidRDefault="00B5073C" w:rsidP="0075669D">
      <w:pPr>
        <w:pStyle w:val="Sangra3detindependiente"/>
        <w:widowControl w:val="0"/>
        <w:tabs>
          <w:tab w:val="left" w:pos="8647"/>
        </w:tabs>
        <w:suppressAutoHyphens/>
        <w:ind w:firstLine="0"/>
        <w:jc w:val="center"/>
        <w:rPr>
          <w:b/>
          <w:szCs w:val="22"/>
          <w:u w:val="single"/>
        </w:rPr>
      </w:pPr>
      <w:r w:rsidRPr="009452F9">
        <w:rPr>
          <w:b/>
          <w:szCs w:val="22"/>
          <w:u w:val="single"/>
        </w:rPr>
        <w:t>Anexo a la Reso</w:t>
      </w:r>
      <w:r w:rsidR="009452F9" w:rsidRPr="009452F9">
        <w:rPr>
          <w:b/>
          <w:szCs w:val="22"/>
          <w:u w:val="single"/>
        </w:rPr>
        <w:t xml:space="preserve">lución ENRE N°  </w:t>
      </w:r>
      <w:r w:rsidR="00E71C7F">
        <w:rPr>
          <w:b/>
          <w:szCs w:val="22"/>
          <w:u w:val="single"/>
        </w:rPr>
        <w:t>625</w:t>
      </w:r>
      <w:bookmarkStart w:id="0" w:name="_GoBack"/>
      <w:bookmarkEnd w:id="0"/>
      <w:r w:rsidRPr="009452F9">
        <w:rPr>
          <w:b/>
          <w:szCs w:val="22"/>
          <w:u w:val="single"/>
        </w:rPr>
        <w:t>/2017</w:t>
      </w:r>
    </w:p>
    <w:p w:rsidR="00B5073C" w:rsidRPr="0075669D" w:rsidRDefault="00B5073C" w:rsidP="0075669D">
      <w:pPr>
        <w:pStyle w:val="Sangra3detindependiente"/>
        <w:widowControl w:val="0"/>
        <w:tabs>
          <w:tab w:val="left" w:pos="8647"/>
        </w:tabs>
        <w:suppressAutoHyphens/>
        <w:ind w:firstLine="0"/>
        <w:jc w:val="center"/>
        <w:rPr>
          <w:b/>
          <w:szCs w:val="22"/>
          <w:u w:val="single"/>
        </w:rPr>
      </w:pPr>
      <w:r w:rsidRPr="0075669D">
        <w:rPr>
          <w:b/>
          <w:szCs w:val="22"/>
          <w:u w:val="single"/>
        </w:rPr>
        <w:t xml:space="preserve">Reglamento </w:t>
      </w:r>
      <w:r w:rsidR="001D2F65" w:rsidRPr="0075669D">
        <w:rPr>
          <w:b/>
          <w:szCs w:val="22"/>
          <w:u w:val="single"/>
        </w:rPr>
        <w:t xml:space="preserve">para el sistema de medición </w:t>
      </w:r>
      <w:proofErr w:type="spellStart"/>
      <w:r w:rsidR="001D2F65" w:rsidRPr="0075669D">
        <w:rPr>
          <w:b/>
          <w:szCs w:val="22"/>
          <w:u w:val="single"/>
        </w:rPr>
        <w:t>autoadministrada</w:t>
      </w:r>
      <w:proofErr w:type="spellEnd"/>
    </w:p>
    <w:p w:rsidR="0075669D" w:rsidRPr="009452F9" w:rsidRDefault="0075669D" w:rsidP="0075669D">
      <w:pPr>
        <w:pStyle w:val="Sangra3detindependiente"/>
        <w:widowControl w:val="0"/>
        <w:tabs>
          <w:tab w:val="left" w:pos="8647"/>
        </w:tabs>
        <w:suppressAutoHyphens/>
        <w:ind w:firstLine="0"/>
        <w:jc w:val="center"/>
        <w:rPr>
          <w:b/>
          <w:szCs w:val="22"/>
        </w:rPr>
      </w:pPr>
    </w:p>
    <w:p w:rsidR="004A7E30" w:rsidRPr="009452F9" w:rsidRDefault="004A7E30" w:rsidP="0075669D">
      <w:pPr>
        <w:pStyle w:val="Prrafodelista"/>
        <w:numPr>
          <w:ilvl w:val="0"/>
          <w:numId w:val="9"/>
        </w:numPr>
        <w:tabs>
          <w:tab w:val="left" w:pos="8647"/>
        </w:tabs>
        <w:suppressAutoHyphens/>
        <w:spacing w:after="0" w:line="480" w:lineRule="auto"/>
        <w:jc w:val="both"/>
        <w:rPr>
          <w:rFonts w:ascii="Arial" w:hAnsi="Arial" w:cs="Arial"/>
          <w:b/>
        </w:rPr>
      </w:pPr>
      <w:r w:rsidRPr="009452F9">
        <w:rPr>
          <w:rFonts w:ascii="Arial" w:hAnsi="Arial" w:cs="Arial"/>
          <w:b/>
        </w:rPr>
        <w:t>Aspectos Generales</w:t>
      </w:r>
    </w:p>
    <w:p w:rsidR="006C190D"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El sistema de Medición </w:t>
      </w:r>
      <w:proofErr w:type="spellStart"/>
      <w:r w:rsidRPr="009452F9">
        <w:rPr>
          <w:rFonts w:ascii="Arial" w:hAnsi="Arial" w:cs="Arial"/>
          <w:sz w:val="22"/>
          <w:szCs w:val="22"/>
        </w:rPr>
        <w:t>Autoadministrada</w:t>
      </w:r>
      <w:proofErr w:type="spellEnd"/>
      <w:r w:rsidRPr="009452F9">
        <w:rPr>
          <w:rFonts w:ascii="Arial" w:hAnsi="Arial" w:cs="Arial"/>
          <w:sz w:val="22"/>
          <w:szCs w:val="22"/>
        </w:rPr>
        <w:t xml:space="preserve"> (MA) está destinado exclusivamente a usuarios de tarifa T1 cuya situación socioeconómica les ocasione dificultades para afrontar sus consumos de energía, dando lugar a morosidad reiterada o a la baja del servicio por incumplimiento de pago</w:t>
      </w:r>
      <w:r w:rsidR="006C190D">
        <w:rPr>
          <w:rFonts w:ascii="Arial" w:hAnsi="Arial" w:cs="Arial"/>
          <w:sz w:val="22"/>
          <w:szCs w:val="22"/>
        </w:rPr>
        <w:t>.</w:t>
      </w:r>
      <w:r w:rsidR="006C190D" w:rsidRPr="006C190D">
        <w:rPr>
          <w:rFonts w:ascii="Arial" w:hAnsi="Arial" w:cs="Arial"/>
          <w:sz w:val="22"/>
          <w:szCs w:val="22"/>
        </w:rPr>
        <w:t xml:space="preserve"> </w:t>
      </w:r>
      <w:r w:rsidR="006C190D" w:rsidRPr="009452F9">
        <w:rPr>
          <w:rFonts w:ascii="Arial" w:hAnsi="Arial" w:cs="Arial"/>
          <w:sz w:val="22"/>
          <w:szCs w:val="22"/>
        </w:rPr>
        <w:t>También se encuentran incluidos los nuevos usuarios provenientes de planes de vivienda o de asentamientos a regularizar.</w:t>
      </w:r>
    </w:p>
    <w:p w:rsidR="004A7E30" w:rsidRDefault="006C190D" w:rsidP="0075669D">
      <w:pPr>
        <w:tabs>
          <w:tab w:val="left" w:pos="8647"/>
        </w:tabs>
        <w:suppressAutoHyphens/>
        <w:spacing w:line="480" w:lineRule="auto"/>
        <w:jc w:val="both"/>
        <w:rPr>
          <w:rFonts w:ascii="Arial" w:hAnsi="Arial" w:cs="Arial"/>
          <w:sz w:val="22"/>
          <w:szCs w:val="22"/>
        </w:rPr>
      </w:pPr>
      <w:r>
        <w:rPr>
          <w:rFonts w:ascii="Arial" w:hAnsi="Arial" w:cs="Arial"/>
          <w:sz w:val="22"/>
          <w:szCs w:val="22"/>
        </w:rPr>
        <w:t xml:space="preserve">El sistema será, a su vez, aplicable </w:t>
      </w:r>
      <w:r w:rsidR="004A7E30" w:rsidRPr="009452F9">
        <w:rPr>
          <w:rFonts w:ascii="Arial" w:hAnsi="Arial" w:cs="Arial"/>
          <w:sz w:val="22"/>
          <w:szCs w:val="22"/>
        </w:rPr>
        <w:t>a todo aquel usuario de tarifa T1 que, sin verificar situaciones de morosidad o incumplimientos, así lo solicite y el ENRE, e</w:t>
      </w:r>
      <w:r w:rsidR="0075669D">
        <w:rPr>
          <w:rFonts w:ascii="Arial" w:hAnsi="Arial" w:cs="Arial"/>
          <w:sz w:val="22"/>
          <w:szCs w:val="22"/>
        </w:rPr>
        <w:t>n atención a su condición socio</w:t>
      </w:r>
      <w:r w:rsidR="004A7E30" w:rsidRPr="009452F9">
        <w:rPr>
          <w:rFonts w:ascii="Arial" w:hAnsi="Arial" w:cs="Arial"/>
          <w:sz w:val="22"/>
          <w:szCs w:val="22"/>
        </w:rPr>
        <w:t xml:space="preserve">económica, autorice expresamente. </w:t>
      </w:r>
    </w:p>
    <w:p w:rsidR="006C190D" w:rsidRPr="009452F9" w:rsidRDefault="006C190D" w:rsidP="0075669D">
      <w:pPr>
        <w:tabs>
          <w:tab w:val="left" w:pos="8647"/>
        </w:tabs>
        <w:suppressAutoHyphens/>
        <w:spacing w:line="480" w:lineRule="auto"/>
        <w:jc w:val="both"/>
        <w:rPr>
          <w:rFonts w:ascii="Arial" w:hAnsi="Arial" w:cs="Arial"/>
          <w:strike/>
          <w:sz w:val="22"/>
          <w:szCs w:val="22"/>
        </w:rPr>
      </w:pPr>
      <w:r>
        <w:rPr>
          <w:rFonts w:ascii="Arial" w:hAnsi="Arial" w:cs="Arial"/>
          <w:sz w:val="22"/>
          <w:szCs w:val="22"/>
        </w:rPr>
        <w:t>La expresa aceptación del usuario para todo tipo de situación a la que resulte aplicable el presente régimen es condición ineludible para su validez.</w:t>
      </w:r>
    </w:p>
    <w:p w:rsidR="004A7E30"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El costo de la tecnología, de la instalación de los medidores y del sistema de venta no significará un cargo adicional para este tipo de usuarios.</w:t>
      </w:r>
    </w:p>
    <w:p w:rsidR="0075669D" w:rsidRPr="009452F9" w:rsidRDefault="0075669D" w:rsidP="0075669D">
      <w:pPr>
        <w:tabs>
          <w:tab w:val="left" w:pos="8647"/>
        </w:tabs>
        <w:suppressAutoHyphens/>
        <w:spacing w:line="480" w:lineRule="auto"/>
        <w:jc w:val="both"/>
        <w:rPr>
          <w:rFonts w:ascii="Arial" w:hAnsi="Arial" w:cs="Arial"/>
          <w:sz w:val="22"/>
          <w:szCs w:val="22"/>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Características del MA</w:t>
      </w:r>
    </w:p>
    <w:p w:rsidR="004A7E30"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El medidor </w:t>
      </w:r>
      <w:proofErr w:type="spellStart"/>
      <w:r w:rsidRPr="009452F9">
        <w:rPr>
          <w:rFonts w:ascii="Arial" w:hAnsi="Arial" w:cs="Arial"/>
          <w:sz w:val="22"/>
          <w:szCs w:val="22"/>
        </w:rPr>
        <w:t>autoadministrado</w:t>
      </w:r>
      <w:proofErr w:type="spellEnd"/>
      <w:r w:rsidRPr="009452F9">
        <w:rPr>
          <w:rFonts w:ascii="Arial" w:hAnsi="Arial" w:cs="Arial"/>
          <w:sz w:val="22"/>
          <w:szCs w:val="22"/>
        </w:rPr>
        <w:t xml:space="preserve"> deberá ser </w:t>
      </w:r>
      <w:proofErr w:type="spellStart"/>
      <w:r w:rsidRPr="009452F9">
        <w:rPr>
          <w:rFonts w:ascii="Arial" w:hAnsi="Arial" w:cs="Arial"/>
          <w:sz w:val="22"/>
          <w:szCs w:val="22"/>
        </w:rPr>
        <w:t>bicuerpo</w:t>
      </w:r>
      <w:proofErr w:type="spellEnd"/>
      <w:r w:rsidRPr="009452F9">
        <w:rPr>
          <w:rFonts w:ascii="Arial" w:hAnsi="Arial" w:cs="Arial"/>
          <w:sz w:val="22"/>
          <w:szCs w:val="22"/>
        </w:rPr>
        <w:t>: una parte metrológica ubicada fuera de la vivienda (medidor monofásico colocado en altura) y una unidad de interface interna (teclado/</w:t>
      </w:r>
      <w:proofErr w:type="spellStart"/>
      <w:r w:rsidRPr="009452F9">
        <w:rPr>
          <w:rFonts w:ascii="Arial" w:hAnsi="Arial" w:cs="Arial"/>
          <w:sz w:val="22"/>
          <w:szCs w:val="22"/>
        </w:rPr>
        <w:t>display</w:t>
      </w:r>
      <w:proofErr w:type="spellEnd"/>
      <w:r w:rsidRPr="009452F9">
        <w:rPr>
          <w:rFonts w:ascii="Arial" w:hAnsi="Arial" w:cs="Arial"/>
          <w:sz w:val="22"/>
          <w:szCs w:val="22"/>
        </w:rPr>
        <w:t>) ubicada dentro de la vivienda, para facilitar la administración por parte del usuario.</w:t>
      </w:r>
    </w:p>
    <w:p w:rsidR="0075669D" w:rsidRPr="009452F9" w:rsidRDefault="0075669D" w:rsidP="0075669D">
      <w:pPr>
        <w:tabs>
          <w:tab w:val="left" w:pos="8647"/>
        </w:tabs>
        <w:suppressAutoHyphens/>
        <w:spacing w:line="480" w:lineRule="auto"/>
        <w:jc w:val="both"/>
        <w:rPr>
          <w:rFonts w:ascii="Arial" w:hAnsi="Arial" w:cs="Arial"/>
          <w:sz w:val="22"/>
          <w:szCs w:val="22"/>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Condiciones de acceso</w:t>
      </w:r>
    </w:p>
    <w:p w:rsidR="004A7E30" w:rsidRPr="009452F9" w:rsidRDefault="004A7E30" w:rsidP="0075669D">
      <w:pPr>
        <w:tabs>
          <w:tab w:val="left" w:pos="8647"/>
        </w:tabs>
        <w:suppressAutoHyphens/>
        <w:spacing w:line="480" w:lineRule="auto"/>
        <w:jc w:val="both"/>
        <w:rPr>
          <w:rStyle w:val="fontstyle01"/>
          <w:rFonts w:ascii="Arial" w:hAnsi="Arial" w:cs="Arial"/>
          <w:sz w:val="22"/>
          <w:szCs w:val="22"/>
        </w:rPr>
      </w:pPr>
      <w:r w:rsidRPr="009452F9">
        <w:rPr>
          <w:rFonts w:ascii="Arial" w:hAnsi="Arial" w:cs="Arial"/>
          <w:sz w:val="22"/>
          <w:szCs w:val="22"/>
        </w:rPr>
        <w:t>La instalación del MA deberá contar con la expresa adhesión a esta modalidad de facturación por parte del usuario titular del suministro.</w:t>
      </w:r>
      <w:r w:rsidRPr="009452F9">
        <w:rPr>
          <w:rStyle w:val="fontstyle01"/>
          <w:rFonts w:ascii="Arial" w:hAnsi="Arial" w:cs="Arial"/>
          <w:sz w:val="22"/>
          <w:szCs w:val="22"/>
        </w:rPr>
        <w:t xml:space="preserve"> El formulario de adhesión deberá contener la fecha y los datos del usuario (nombre, </w:t>
      </w:r>
      <w:r w:rsidR="0075669D" w:rsidRPr="009452F9">
        <w:rPr>
          <w:rStyle w:val="fontstyle01"/>
          <w:rFonts w:ascii="Arial" w:hAnsi="Arial" w:cs="Arial"/>
          <w:sz w:val="22"/>
          <w:szCs w:val="22"/>
        </w:rPr>
        <w:t>DNI</w:t>
      </w:r>
      <w:r w:rsidRPr="009452F9">
        <w:rPr>
          <w:rStyle w:val="fontstyle01"/>
          <w:rFonts w:ascii="Arial" w:hAnsi="Arial" w:cs="Arial"/>
          <w:sz w:val="22"/>
          <w:szCs w:val="22"/>
        </w:rPr>
        <w:t xml:space="preserve">, firma), dirección del suministro, número de medidor y los datos del representante de la distribuidora que realizó la tramitación. </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La distribuidora deberá informar al usuario acerca del funcionamiento del medidor y la forma de llevar un control diario de sus consumos. Una vez aceptada la instalación deberá entregarle un manual para su operación.</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Asimismo, deberá suministrarle al usuario un listado con el detalle de los puntos de venta próximos a su domicilio donde podrá adquirir los comprobantes de compra de energía eléctrica que habilita el uso del MA, el horario de atención de dichos puntos, los que deberán estar ubicados en las zonas y centros comerciales de los barrios y localidades donde habita.</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Al momento de la instalación del MA la distribuidora le asignará al usuario un crédito inicial gratuito a su favor equivalente a 150 kWh.</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Adicionalmente, la distribuidora le otorgará un crédito adicional o “saldo anticipado” de 150 kWh, que le brindará al usuario la posibilidad de disponer de dicho saldo luego de haberse agotado la energía eléctrica adquirida en su última compra. El monto utilizado de este saldo, se descontará de la próxima compra de energía eléctrica.</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Pasado un año de su instalación el usuario, de considerarlo conveniente, podrá solicitar a la distribuidora retornar al sistema de medición convencional.</w:t>
      </w:r>
    </w:p>
    <w:p w:rsidR="004A7E30"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No podrán ser destinatarios de este sistema de medición, aquellos domicilios donde habiten electrodependientes por cuestiones de salud, registrados como tales en los términos establecidos por los </w:t>
      </w:r>
      <w:r w:rsidR="0075669D" w:rsidRPr="009452F9">
        <w:rPr>
          <w:rFonts w:ascii="Arial" w:hAnsi="Arial" w:cs="Arial"/>
          <w:sz w:val="22"/>
          <w:szCs w:val="22"/>
        </w:rPr>
        <w:t xml:space="preserve">Artículos </w:t>
      </w:r>
      <w:r w:rsidRPr="009452F9">
        <w:rPr>
          <w:rFonts w:ascii="Arial" w:hAnsi="Arial" w:cs="Arial"/>
          <w:sz w:val="22"/>
          <w:szCs w:val="22"/>
        </w:rPr>
        <w:t xml:space="preserve">8 y 9 la Ley </w:t>
      </w:r>
      <w:r w:rsidR="006C190D">
        <w:rPr>
          <w:rFonts w:ascii="Arial" w:hAnsi="Arial" w:cs="Arial"/>
          <w:sz w:val="22"/>
          <w:szCs w:val="22"/>
        </w:rPr>
        <w:t xml:space="preserve">N° </w:t>
      </w:r>
      <w:r w:rsidRPr="009452F9">
        <w:rPr>
          <w:rFonts w:ascii="Arial" w:hAnsi="Arial" w:cs="Arial"/>
          <w:sz w:val="22"/>
          <w:szCs w:val="22"/>
        </w:rPr>
        <w:t>27</w:t>
      </w:r>
      <w:r w:rsidR="0075669D">
        <w:rPr>
          <w:rFonts w:ascii="Arial" w:hAnsi="Arial" w:cs="Arial"/>
          <w:sz w:val="22"/>
          <w:szCs w:val="22"/>
        </w:rPr>
        <w:t>.</w:t>
      </w:r>
      <w:r w:rsidRPr="009452F9">
        <w:rPr>
          <w:rFonts w:ascii="Arial" w:hAnsi="Arial" w:cs="Arial"/>
          <w:sz w:val="22"/>
          <w:szCs w:val="22"/>
        </w:rPr>
        <w:t xml:space="preserve">351 y el </w:t>
      </w:r>
      <w:r w:rsidR="0075669D" w:rsidRPr="009452F9">
        <w:rPr>
          <w:rFonts w:ascii="Arial" w:hAnsi="Arial" w:cs="Arial"/>
          <w:sz w:val="22"/>
          <w:szCs w:val="22"/>
        </w:rPr>
        <w:t xml:space="preserve">Artículo </w:t>
      </w:r>
      <w:r w:rsidRPr="009452F9">
        <w:rPr>
          <w:rFonts w:ascii="Arial" w:hAnsi="Arial" w:cs="Arial"/>
          <w:sz w:val="22"/>
          <w:szCs w:val="22"/>
        </w:rPr>
        <w:t xml:space="preserve">4 de la Resolución MINEM </w:t>
      </w:r>
      <w:r w:rsidR="006C190D">
        <w:rPr>
          <w:rFonts w:ascii="Arial" w:hAnsi="Arial" w:cs="Arial"/>
          <w:sz w:val="22"/>
          <w:szCs w:val="22"/>
        </w:rPr>
        <w:t xml:space="preserve">N° </w:t>
      </w:r>
      <w:r w:rsidRPr="009452F9">
        <w:rPr>
          <w:rFonts w:ascii="Arial" w:hAnsi="Arial" w:cs="Arial"/>
          <w:sz w:val="22"/>
          <w:szCs w:val="22"/>
        </w:rPr>
        <w:t>204/2017.</w:t>
      </w:r>
    </w:p>
    <w:p w:rsidR="0075669D" w:rsidRPr="009452F9" w:rsidRDefault="0075669D" w:rsidP="0075669D">
      <w:pPr>
        <w:tabs>
          <w:tab w:val="left" w:pos="8647"/>
        </w:tabs>
        <w:suppressAutoHyphens/>
        <w:spacing w:line="480" w:lineRule="auto"/>
        <w:jc w:val="both"/>
        <w:rPr>
          <w:rFonts w:ascii="Arial" w:hAnsi="Arial" w:cs="Arial"/>
          <w:sz w:val="22"/>
          <w:szCs w:val="22"/>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Característica</w:t>
      </w:r>
      <w:r w:rsidR="006C190D">
        <w:rPr>
          <w:rFonts w:ascii="Arial" w:hAnsi="Arial" w:cs="Arial"/>
          <w:b/>
        </w:rPr>
        <w:t>s</w:t>
      </w:r>
      <w:r w:rsidRPr="009452F9">
        <w:rPr>
          <w:rFonts w:ascii="Arial" w:hAnsi="Arial" w:cs="Arial"/>
          <w:b/>
        </w:rPr>
        <w:t xml:space="preserve"> de la factura</w:t>
      </w:r>
    </w:p>
    <w:p w:rsidR="004A7E30"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Los comprobantes por las compras de energía eléctrica que se emitan para habilitar </w:t>
      </w:r>
      <w:r w:rsidR="006C190D">
        <w:rPr>
          <w:rFonts w:ascii="Arial" w:hAnsi="Arial" w:cs="Arial"/>
          <w:sz w:val="22"/>
          <w:szCs w:val="22"/>
        </w:rPr>
        <w:t>su</w:t>
      </w:r>
      <w:r w:rsidR="00FE49B7">
        <w:rPr>
          <w:rFonts w:ascii="Arial" w:hAnsi="Arial" w:cs="Arial"/>
          <w:sz w:val="22"/>
          <w:szCs w:val="22"/>
        </w:rPr>
        <w:t xml:space="preserve"> consumo a ser registrado </w:t>
      </w:r>
      <w:r w:rsidR="006C190D">
        <w:rPr>
          <w:rFonts w:ascii="Arial" w:hAnsi="Arial" w:cs="Arial"/>
          <w:sz w:val="22"/>
          <w:szCs w:val="22"/>
        </w:rPr>
        <w:t>por un MA</w:t>
      </w:r>
      <w:r w:rsidR="00FE49B7">
        <w:rPr>
          <w:rFonts w:ascii="Arial" w:hAnsi="Arial" w:cs="Arial"/>
          <w:sz w:val="22"/>
          <w:szCs w:val="22"/>
        </w:rPr>
        <w:t>,</w:t>
      </w:r>
      <w:r w:rsidR="006C190D">
        <w:rPr>
          <w:rFonts w:ascii="Arial" w:hAnsi="Arial" w:cs="Arial"/>
          <w:sz w:val="22"/>
          <w:szCs w:val="22"/>
        </w:rPr>
        <w:t xml:space="preserve"> </w:t>
      </w:r>
      <w:r w:rsidRPr="009452F9">
        <w:rPr>
          <w:rFonts w:ascii="Arial" w:hAnsi="Arial" w:cs="Arial"/>
          <w:sz w:val="22"/>
          <w:szCs w:val="22"/>
        </w:rPr>
        <w:t>deberán contener: número, datos indicativos de EDENOR S.A., nombre y apellido del usuario, número de cuenta, número de medidor, fecha y hora de la transacción, identificación de la tarifa, unidades de energía compradas con identificación del o los escalones correspondientes a la compra, valores del costo variable por escalón de consumo ($/kWh), impuestos, tasas, contribuciones, tasa de alumbrado público y bonificaciones, si correspondieran.</w:t>
      </w:r>
    </w:p>
    <w:p w:rsidR="0075669D" w:rsidRPr="009452F9" w:rsidRDefault="0075669D" w:rsidP="0075669D">
      <w:pPr>
        <w:tabs>
          <w:tab w:val="left" w:pos="8647"/>
        </w:tabs>
        <w:suppressAutoHyphens/>
        <w:spacing w:line="480" w:lineRule="auto"/>
        <w:jc w:val="both"/>
        <w:rPr>
          <w:rFonts w:ascii="Arial" w:hAnsi="Arial" w:cs="Arial"/>
          <w:sz w:val="22"/>
          <w:szCs w:val="22"/>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Tarifa aplicable</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En el MA la Distribuidora registra el momento de la compra de energía pero no en el que se produce el consumo. Este hecho impide determinar si el usuario efectivamente ahorró respecto del mismo período del año 2015 (o en su defecto, el primer año en que registra historial de consumo), y aplicarle de corresponder el esquema de incentivo al ahorro aprobado por el MINEM. A fin de salvar este hecho sin perjudicar al usuario, se aplicarán los precios mayoristas correspondientes a las modalidades de ahorro que se encuentren vigentes según el encuadramiento tarifario que tenga el usuario.</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Una vez instalado el MA, las sucesivas compras de energía eléctrica (kWh) que realice el usuario a lo largo del mes calendario se irán acumulando, ubicándolo así en los diferentes segmentos crecientes de consumo. Con el inicio de un nuevo mes calendario, comienza nuevamente este proceso. </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lang w:val="es-ES"/>
        </w:rPr>
        <w:t xml:space="preserve">La tarifa aplicable a los usuarios de MA deberá computarse en $/kWh y con un redondeo de 3 decimales, y el resultado de su aplicación </w:t>
      </w:r>
      <w:r w:rsidRPr="009452F9">
        <w:rPr>
          <w:rFonts w:ascii="Arial" w:hAnsi="Arial" w:cs="Arial"/>
          <w:sz w:val="22"/>
          <w:szCs w:val="22"/>
        </w:rPr>
        <w:t>no podrá ser superior al que resultare de considerar la tarifa correspondiente al segmento de consumo equivalente en el sistema de medición tradicional, de acuerdo a las definiciones que a continuación se detallan.</w:t>
      </w:r>
    </w:p>
    <w:p w:rsidR="004A7E30" w:rsidRPr="009452F9" w:rsidRDefault="004A7E30" w:rsidP="0075669D">
      <w:pPr>
        <w:pStyle w:val="Prrafodelista"/>
        <w:numPr>
          <w:ilvl w:val="0"/>
          <w:numId w:val="10"/>
        </w:numPr>
        <w:tabs>
          <w:tab w:val="left" w:pos="8647"/>
        </w:tabs>
        <w:suppressAutoHyphens/>
        <w:spacing w:after="0" w:line="480" w:lineRule="auto"/>
        <w:jc w:val="both"/>
        <w:rPr>
          <w:rFonts w:ascii="Arial" w:hAnsi="Arial" w:cs="Arial"/>
        </w:rPr>
      </w:pPr>
      <w:r w:rsidRPr="009452F9">
        <w:rPr>
          <w:rFonts w:ascii="Arial" w:hAnsi="Arial" w:cs="Arial"/>
        </w:rPr>
        <w:t>Residencial</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El usuario que adhi</w:t>
      </w:r>
      <w:r w:rsidR="0075669D">
        <w:rPr>
          <w:rFonts w:ascii="Arial" w:hAnsi="Arial" w:cs="Arial"/>
          <w:sz w:val="22"/>
          <w:szCs w:val="22"/>
        </w:rPr>
        <w:t>era al sistema de medición auto</w:t>
      </w:r>
      <w:r w:rsidRPr="009452F9">
        <w:rPr>
          <w:rFonts w:ascii="Arial" w:hAnsi="Arial" w:cs="Arial"/>
          <w:sz w:val="22"/>
          <w:szCs w:val="22"/>
        </w:rPr>
        <w:t xml:space="preserve">administrado será categorizado en </w:t>
      </w:r>
      <w:r w:rsidR="00DB3D70" w:rsidRPr="009452F9">
        <w:rPr>
          <w:rFonts w:ascii="Arial" w:hAnsi="Arial" w:cs="Arial"/>
          <w:sz w:val="22"/>
          <w:szCs w:val="22"/>
        </w:rPr>
        <w:t xml:space="preserve">el esquema de </w:t>
      </w:r>
      <w:r w:rsidRPr="009452F9">
        <w:rPr>
          <w:rFonts w:ascii="Arial" w:hAnsi="Arial" w:cs="Arial"/>
          <w:sz w:val="22"/>
          <w:szCs w:val="22"/>
        </w:rPr>
        <w:t>tarifa social (TS) con ahorro, aprobad</w:t>
      </w:r>
      <w:r w:rsidR="00DB3D70" w:rsidRPr="009452F9">
        <w:rPr>
          <w:rFonts w:ascii="Arial" w:hAnsi="Arial" w:cs="Arial"/>
          <w:sz w:val="22"/>
          <w:szCs w:val="22"/>
        </w:rPr>
        <w:t>o</w:t>
      </w:r>
      <w:r w:rsidRPr="009452F9">
        <w:rPr>
          <w:rFonts w:ascii="Arial" w:hAnsi="Arial" w:cs="Arial"/>
          <w:sz w:val="22"/>
          <w:szCs w:val="22"/>
        </w:rPr>
        <w:t xml:space="preserve"> en </w:t>
      </w:r>
      <w:r w:rsidR="00DB3D70" w:rsidRPr="009452F9">
        <w:rPr>
          <w:rFonts w:ascii="Arial" w:hAnsi="Arial" w:cs="Arial"/>
          <w:sz w:val="22"/>
          <w:szCs w:val="22"/>
        </w:rPr>
        <w:t>los</w:t>
      </w:r>
      <w:r w:rsidRPr="009452F9">
        <w:rPr>
          <w:rFonts w:ascii="Arial" w:hAnsi="Arial" w:cs="Arial"/>
          <w:sz w:val="22"/>
          <w:szCs w:val="22"/>
        </w:rPr>
        <w:t xml:space="preserve"> </w:t>
      </w:r>
      <w:r w:rsidR="0075669D" w:rsidRPr="009452F9">
        <w:rPr>
          <w:rFonts w:ascii="Arial" w:hAnsi="Arial" w:cs="Arial"/>
          <w:sz w:val="22"/>
          <w:szCs w:val="22"/>
        </w:rPr>
        <w:t xml:space="preserve">Artículos </w:t>
      </w:r>
      <w:r w:rsidR="00DB3D70" w:rsidRPr="009452F9">
        <w:rPr>
          <w:rFonts w:ascii="Arial" w:hAnsi="Arial" w:cs="Arial"/>
          <w:sz w:val="22"/>
          <w:szCs w:val="22"/>
        </w:rPr>
        <w:t>3 y 5</w:t>
      </w:r>
      <w:r w:rsidRPr="009452F9">
        <w:rPr>
          <w:rFonts w:ascii="Arial" w:hAnsi="Arial" w:cs="Arial"/>
          <w:sz w:val="22"/>
          <w:szCs w:val="22"/>
        </w:rPr>
        <w:t xml:space="preserve"> de la Resolución ENRE </w:t>
      </w:r>
      <w:r w:rsidR="0075669D">
        <w:rPr>
          <w:rFonts w:ascii="Arial" w:hAnsi="Arial" w:cs="Arial"/>
          <w:sz w:val="22"/>
          <w:szCs w:val="22"/>
        </w:rPr>
        <w:t xml:space="preserve">N° </w:t>
      </w:r>
      <w:r w:rsidRPr="009452F9">
        <w:rPr>
          <w:rFonts w:ascii="Arial" w:hAnsi="Arial" w:cs="Arial"/>
          <w:sz w:val="22"/>
          <w:szCs w:val="22"/>
        </w:rPr>
        <w:t>6</w:t>
      </w:r>
      <w:r w:rsidR="00DB3D70" w:rsidRPr="009452F9">
        <w:rPr>
          <w:rFonts w:ascii="Arial" w:hAnsi="Arial" w:cs="Arial"/>
          <w:sz w:val="22"/>
          <w:szCs w:val="22"/>
        </w:rPr>
        <w:t>0</w:t>
      </w:r>
      <w:r w:rsidRPr="009452F9">
        <w:rPr>
          <w:rFonts w:ascii="Arial" w:hAnsi="Arial" w:cs="Arial"/>
          <w:sz w:val="22"/>
          <w:szCs w:val="22"/>
        </w:rPr>
        <w:t>3/2017 y los que lo reemplacen, ad referéndum de la verificación que realice el Sistema de Identificación Nacional Tributario y Social (</w:t>
      </w:r>
      <w:proofErr w:type="spellStart"/>
      <w:r w:rsidRPr="009452F9">
        <w:rPr>
          <w:rFonts w:ascii="Arial" w:hAnsi="Arial" w:cs="Arial"/>
          <w:sz w:val="22"/>
          <w:szCs w:val="22"/>
        </w:rPr>
        <w:t>SINTyS</w:t>
      </w:r>
      <w:proofErr w:type="spellEnd"/>
      <w:r w:rsidRPr="009452F9">
        <w:rPr>
          <w:rFonts w:ascii="Arial" w:hAnsi="Arial" w:cs="Arial"/>
          <w:sz w:val="22"/>
          <w:szCs w:val="22"/>
        </w:rPr>
        <w:t xml:space="preserve">) y el ENRE, a partir su sistema de georreferenciación. </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De corresponder este encuadramiento, con la primera compra de cada mes se le acreditarán los 150 kWh libres reconocidos para los beneficiarios de la TS.</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De no cumplir con los requisitos para beneficiarse de la TS, le será aplicable la tarifa </w:t>
      </w:r>
      <w:r w:rsidR="00DB3D70" w:rsidRPr="009452F9">
        <w:rPr>
          <w:rFonts w:ascii="Arial" w:hAnsi="Arial" w:cs="Arial"/>
          <w:sz w:val="22"/>
          <w:szCs w:val="22"/>
        </w:rPr>
        <w:t xml:space="preserve">correspondiente a la categoría residencial con ahorro superior al 20%, </w:t>
      </w:r>
      <w:r w:rsidRPr="009452F9">
        <w:rPr>
          <w:rFonts w:ascii="Arial" w:hAnsi="Arial" w:cs="Arial"/>
          <w:sz w:val="22"/>
          <w:szCs w:val="22"/>
        </w:rPr>
        <w:t xml:space="preserve">aprobada en </w:t>
      </w:r>
      <w:r w:rsidR="00DB3D70" w:rsidRPr="009452F9">
        <w:rPr>
          <w:rFonts w:ascii="Arial" w:hAnsi="Arial" w:cs="Arial"/>
          <w:sz w:val="22"/>
          <w:szCs w:val="22"/>
        </w:rPr>
        <w:t xml:space="preserve">los </w:t>
      </w:r>
      <w:r w:rsidR="0075669D" w:rsidRPr="009452F9">
        <w:rPr>
          <w:rFonts w:ascii="Arial" w:hAnsi="Arial" w:cs="Arial"/>
          <w:sz w:val="22"/>
          <w:szCs w:val="22"/>
        </w:rPr>
        <w:t xml:space="preserve">Artículos </w:t>
      </w:r>
      <w:r w:rsidR="00DB3D70" w:rsidRPr="009452F9">
        <w:rPr>
          <w:rFonts w:ascii="Arial" w:hAnsi="Arial" w:cs="Arial"/>
          <w:sz w:val="22"/>
          <w:szCs w:val="22"/>
        </w:rPr>
        <w:t>2 y 4</w:t>
      </w:r>
      <w:r w:rsidRPr="009452F9">
        <w:rPr>
          <w:rFonts w:ascii="Arial" w:hAnsi="Arial" w:cs="Arial"/>
          <w:sz w:val="22"/>
          <w:szCs w:val="22"/>
        </w:rPr>
        <w:t xml:space="preserve"> de la Resolución ENRE </w:t>
      </w:r>
      <w:r w:rsidR="0075669D">
        <w:rPr>
          <w:rFonts w:ascii="Arial" w:hAnsi="Arial" w:cs="Arial"/>
          <w:sz w:val="22"/>
          <w:szCs w:val="22"/>
        </w:rPr>
        <w:t xml:space="preserve">N° </w:t>
      </w:r>
      <w:r w:rsidRPr="009452F9">
        <w:rPr>
          <w:rFonts w:ascii="Arial" w:hAnsi="Arial" w:cs="Arial"/>
          <w:sz w:val="22"/>
          <w:szCs w:val="22"/>
        </w:rPr>
        <w:t>6</w:t>
      </w:r>
      <w:r w:rsidR="00DB3D70" w:rsidRPr="009452F9">
        <w:rPr>
          <w:rFonts w:ascii="Arial" w:hAnsi="Arial" w:cs="Arial"/>
          <w:sz w:val="22"/>
          <w:szCs w:val="22"/>
        </w:rPr>
        <w:t>0</w:t>
      </w:r>
      <w:r w:rsidRPr="009452F9">
        <w:rPr>
          <w:rFonts w:ascii="Arial" w:hAnsi="Arial" w:cs="Arial"/>
          <w:sz w:val="22"/>
          <w:szCs w:val="22"/>
        </w:rPr>
        <w:t>3/2017, y los que lo reemplacen.</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Se detallan a continuación las fórmulas tarifarias aplicables a los segmentos de consumo de los usuarios adheridos a la medición </w:t>
      </w:r>
      <w:proofErr w:type="spellStart"/>
      <w:r w:rsidRPr="009452F9">
        <w:rPr>
          <w:rFonts w:ascii="Arial" w:hAnsi="Arial" w:cs="Arial"/>
          <w:sz w:val="22"/>
          <w:szCs w:val="22"/>
        </w:rPr>
        <w:t>a</w:t>
      </w:r>
      <w:r w:rsidR="00E9546F" w:rsidRPr="009452F9">
        <w:rPr>
          <w:rFonts w:ascii="Arial" w:hAnsi="Arial" w:cs="Arial"/>
          <w:sz w:val="22"/>
          <w:szCs w:val="22"/>
        </w:rPr>
        <w:t>uto</w:t>
      </w:r>
      <w:r w:rsidRPr="009452F9">
        <w:rPr>
          <w:rFonts w:ascii="Arial" w:hAnsi="Arial" w:cs="Arial"/>
          <w:sz w:val="22"/>
          <w:szCs w:val="22"/>
        </w:rPr>
        <w:t>administrada</w:t>
      </w:r>
      <w:proofErr w:type="spellEnd"/>
      <w:r w:rsidRPr="009452F9">
        <w:rPr>
          <w:rFonts w:ascii="Arial" w:hAnsi="Arial" w:cs="Arial"/>
          <w:sz w:val="22"/>
          <w:szCs w:val="22"/>
        </w:rPr>
        <w:t>:</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Sea </w:t>
      </w:r>
    </w:p>
    <w:p w:rsidR="004A7E30" w:rsidRPr="009452F9" w:rsidRDefault="004A7E30" w:rsidP="0075669D">
      <w:pPr>
        <w:tabs>
          <w:tab w:val="left" w:pos="8647"/>
        </w:tabs>
        <w:suppressAutoHyphens/>
        <w:spacing w:line="480" w:lineRule="auto"/>
        <w:jc w:val="center"/>
        <w:rPr>
          <w:rFonts w:ascii="Arial" w:hAnsi="Arial" w:cs="Arial"/>
          <w:sz w:val="22"/>
          <w:szCs w:val="22"/>
        </w:rPr>
      </w:pPr>
      <w:proofErr w:type="spellStart"/>
      <w:r w:rsidRPr="009452F9">
        <w:rPr>
          <w:rFonts w:ascii="Arial" w:hAnsi="Arial" w:cs="Arial"/>
          <w:sz w:val="22"/>
          <w:szCs w:val="22"/>
        </w:rPr>
        <w:t>Fmax</w:t>
      </w:r>
      <w:r w:rsidRPr="009452F9">
        <w:rPr>
          <w:rFonts w:ascii="Arial" w:hAnsi="Arial" w:cs="Arial"/>
          <w:sz w:val="22"/>
          <w:szCs w:val="22"/>
          <w:vertAlign w:val="subscript"/>
        </w:rPr>
        <w:t>i</w:t>
      </w:r>
      <w:proofErr w:type="spellEnd"/>
      <w:r w:rsidRPr="009452F9">
        <w:rPr>
          <w:rFonts w:ascii="Arial" w:hAnsi="Arial" w:cs="Arial"/>
          <w:sz w:val="22"/>
          <w:szCs w:val="22"/>
        </w:rPr>
        <w:t xml:space="preserve"> = </w:t>
      </w:r>
      <w:proofErr w:type="spellStart"/>
      <w:r w:rsidRPr="009452F9">
        <w:rPr>
          <w:rFonts w:ascii="Arial" w:hAnsi="Arial" w:cs="Arial"/>
          <w:sz w:val="22"/>
          <w:szCs w:val="22"/>
        </w:rPr>
        <w:t>CF</w:t>
      </w:r>
      <w:r w:rsidRPr="009452F9">
        <w:rPr>
          <w:rFonts w:ascii="Arial" w:hAnsi="Arial" w:cs="Arial"/>
          <w:sz w:val="22"/>
          <w:szCs w:val="22"/>
          <w:vertAlign w:val="subscript"/>
        </w:rPr>
        <w:t>i</w:t>
      </w:r>
      <w:proofErr w:type="spellEnd"/>
      <w:r w:rsidRPr="009452F9">
        <w:rPr>
          <w:rFonts w:ascii="Arial" w:hAnsi="Arial" w:cs="Arial"/>
          <w:sz w:val="22"/>
          <w:szCs w:val="22"/>
        </w:rPr>
        <w:t xml:space="preserve"> + </w:t>
      </w:r>
      <w:proofErr w:type="spellStart"/>
      <w:r w:rsidRPr="009452F9">
        <w:rPr>
          <w:rFonts w:ascii="Arial" w:hAnsi="Arial" w:cs="Arial"/>
          <w:sz w:val="22"/>
          <w:szCs w:val="22"/>
        </w:rPr>
        <w:t>CV</w:t>
      </w:r>
      <w:r w:rsidRPr="009452F9">
        <w:rPr>
          <w:rFonts w:ascii="Arial" w:hAnsi="Arial" w:cs="Arial"/>
          <w:sz w:val="22"/>
          <w:szCs w:val="22"/>
          <w:vertAlign w:val="subscript"/>
        </w:rPr>
        <w:t>i</w:t>
      </w:r>
      <w:proofErr w:type="spellEnd"/>
      <w:r w:rsidRPr="009452F9">
        <w:rPr>
          <w:rFonts w:ascii="Arial" w:hAnsi="Arial" w:cs="Arial"/>
          <w:sz w:val="22"/>
          <w:szCs w:val="22"/>
        </w:rPr>
        <w:t xml:space="preserve"> * (</w:t>
      </w:r>
      <w:proofErr w:type="spellStart"/>
      <w:r w:rsidRPr="009452F9">
        <w:rPr>
          <w:rFonts w:ascii="Arial" w:hAnsi="Arial" w:cs="Arial"/>
          <w:sz w:val="22"/>
          <w:szCs w:val="22"/>
        </w:rPr>
        <w:t>Esup</w:t>
      </w:r>
      <w:r w:rsidRPr="009452F9">
        <w:rPr>
          <w:rFonts w:ascii="Arial" w:hAnsi="Arial" w:cs="Arial"/>
          <w:sz w:val="22"/>
          <w:szCs w:val="22"/>
          <w:vertAlign w:val="subscript"/>
        </w:rPr>
        <w:t>i</w:t>
      </w:r>
      <w:proofErr w:type="spellEnd"/>
      <w:r w:rsidRPr="009452F9">
        <w:rPr>
          <w:rFonts w:ascii="Arial" w:hAnsi="Arial" w:cs="Arial"/>
          <w:sz w:val="22"/>
          <w:szCs w:val="22"/>
        </w:rPr>
        <w:t xml:space="preserve"> – 150)</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Donde </w:t>
      </w:r>
    </w:p>
    <w:p w:rsidR="004A7E30" w:rsidRPr="009452F9" w:rsidRDefault="004A7E30" w:rsidP="0075669D">
      <w:pPr>
        <w:tabs>
          <w:tab w:val="left" w:pos="8647"/>
        </w:tabs>
        <w:suppressAutoHyphens/>
        <w:spacing w:line="480" w:lineRule="auto"/>
        <w:jc w:val="both"/>
        <w:rPr>
          <w:rFonts w:ascii="Arial" w:hAnsi="Arial" w:cs="Arial"/>
          <w:sz w:val="22"/>
          <w:szCs w:val="22"/>
        </w:rPr>
      </w:pPr>
      <w:proofErr w:type="spellStart"/>
      <w:r w:rsidRPr="009452F9">
        <w:rPr>
          <w:rFonts w:ascii="Arial" w:hAnsi="Arial" w:cs="Arial"/>
          <w:sz w:val="22"/>
          <w:szCs w:val="22"/>
        </w:rPr>
        <w:t>Fmax</w:t>
      </w:r>
      <w:r w:rsidRPr="009452F9">
        <w:rPr>
          <w:rFonts w:ascii="Arial" w:hAnsi="Arial" w:cs="Arial"/>
          <w:sz w:val="22"/>
          <w:szCs w:val="22"/>
          <w:vertAlign w:val="subscript"/>
        </w:rPr>
        <w:t>i</w:t>
      </w:r>
      <w:proofErr w:type="spellEnd"/>
      <w:r w:rsidRPr="009452F9">
        <w:rPr>
          <w:rFonts w:ascii="Arial" w:hAnsi="Arial" w:cs="Arial"/>
          <w:sz w:val="22"/>
          <w:szCs w:val="22"/>
        </w:rPr>
        <w:t>, es el valor máximo que puede adoptar la factura en el segmento de consumo i.</w:t>
      </w:r>
    </w:p>
    <w:p w:rsidR="004A7E30" w:rsidRPr="009452F9" w:rsidRDefault="004A7E30" w:rsidP="0075669D">
      <w:pPr>
        <w:tabs>
          <w:tab w:val="left" w:pos="8647"/>
        </w:tabs>
        <w:suppressAutoHyphens/>
        <w:spacing w:line="480" w:lineRule="auto"/>
        <w:jc w:val="both"/>
        <w:rPr>
          <w:rFonts w:ascii="Arial" w:hAnsi="Arial" w:cs="Arial"/>
          <w:sz w:val="22"/>
          <w:szCs w:val="22"/>
        </w:rPr>
      </w:pPr>
      <w:proofErr w:type="spellStart"/>
      <w:r w:rsidRPr="009452F9">
        <w:rPr>
          <w:rFonts w:ascii="Arial" w:hAnsi="Arial" w:cs="Arial"/>
          <w:sz w:val="22"/>
          <w:szCs w:val="22"/>
        </w:rPr>
        <w:t>CF</w:t>
      </w:r>
      <w:r w:rsidRPr="009452F9">
        <w:rPr>
          <w:rFonts w:ascii="Arial" w:hAnsi="Arial" w:cs="Arial"/>
          <w:sz w:val="22"/>
          <w:szCs w:val="22"/>
          <w:vertAlign w:val="subscript"/>
        </w:rPr>
        <w:t>i</w:t>
      </w:r>
      <w:proofErr w:type="spellEnd"/>
      <w:r w:rsidRPr="009452F9">
        <w:rPr>
          <w:rFonts w:ascii="Arial" w:hAnsi="Arial" w:cs="Arial"/>
          <w:sz w:val="22"/>
          <w:szCs w:val="22"/>
        </w:rPr>
        <w:t>, es el cargo fijo correspondiente al segmento de consumo i.</w:t>
      </w:r>
    </w:p>
    <w:p w:rsidR="004A7E30" w:rsidRPr="009452F9" w:rsidRDefault="004A7E30" w:rsidP="0075669D">
      <w:pPr>
        <w:tabs>
          <w:tab w:val="left" w:pos="8647"/>
        </w:tabs>
        <w:suppressAutoHyphens/>
        <w:spacing w:line="480" w:lineRule="auto"/>
        <w:jc w:val="both"/>
        <w:rPr>
          <w:rFonts w:ascii="Arial" w:hAnsi="Arial" w:cs="Arial"/>
          <w:sz w:val="22"/>
          <w:szCs w:val="22"/>
        </w:rPr>
      </w:pPr>
      <w:proofErr w:type="spellStart"/>
      <w:r w:rsidRPr="009452F9">
        <w:rPr>
          <w:rFonts w:ascii="Arial" w:hAnsi="Arial" w:cs="Arial"/>
          <w:sz w:val="22"/>
          <w:szCs w:val="22"/>
        </w:rPr>
        <w:t>CV</w:t>
      </w:r>
      <w:r w:rsidRPr="009452F9">
        <w:rPr>
          <w:rFonts w:ascii="Arial" w:hAnsi="Arial" w:cs="Arial"/>
          <w:sz w:val="22"/>
          <w:szCs w:val="22"/>
          <w:vertAlign w:val="subscript"/>
        </w:rPr>
        <w:t>i</w:t>
      </w:r>
      <w:proofErr w:type="spellEnd"/>
      <w:r w:rsidRPr="009452F9">
        <w:rPr>
          <w:rFonts w:ascii="Arial" w:hAnsi="Arial" w:cs="Arial"/>
          <w:sz w:val="22"/>
          <w:szCs w:val="22"/>
        </w:rPr>
        <w:t>, es el cargo variable del segmento de consumo i.</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w:t>
      </w:r>
      <w:proofErr w:type="spellStart"/>
      <w:r w:rsidRPr="009452F9">
        <w:rPr>
          <w:rFonts w:ascii="Arial" w:hAnsi="Arial" w:cs="Arial"/>
          <w:sz w:val="22"/>
          <w:szCs w:val="22"/>
        </w:rPr>
        <w:t>Esup</w:t>
      </w:r>
      <w:r w:rsidRPr="009452F9">
        <w:rPr>
          <w:rFonts w:ascii="Arial" w:hAnsi="Arial" w:cs="Arial"/>
          <w:sz w:val="22"/>
          <w:szCs w:val="22"/>
          <w:vertAlign w:val="subscript"/>
        </w:rPr>
        <w:t>i</w:t>
      </w:r>
      <w:proofErr w:type="spellEnd"/>
      <w:r w:rsidRPr="009452F9">
        <w:rPr>
          <w:rFonts w:ascii="Arial" w:hAnsi="Arial" w:cs="Arial"/>
          <w:sz w:val="22"/>
          <w:szCs w:val="22"/>
        </w:rPr>
        <w:t xml:space="preserve"> -150) es la energía máxima del segmento de consumo i, neta de los 150 kWh mensuales libres correspondientes a la Tarifa Social. En caso no corresponder la aplicación de la TS, no se descuentan de </w:t>
      </w:r>
      <w:proofErr w:type="spellStart"/>
      <w:r w:rsidRPr="009452F9">
        <w:rPr>
          <w:rFonts w:ascii="Arial" w:hAnsi="Arial" w:cs="Arial"/>
          <w:sz w:val="22"/>
          <w:szCs w:val="22"/>
        </w:rPr>
        <w:t>Esup</w:t>
      </w:r>
      <w:r w:rsidRPr="009452F9">
        <w:rPr>
          <w:rFonts w:ascii="Arial" w:hAnsi="Arial" w:cs="Arial"/>
          <w:sz w:val="22"/>
          <w:szCs w:val="22"/>
          <w:vertAlign w:val="subscript"/>
        </w:rPr>
        <w:t>i</w:t>
      </w:r>
      <w:proofErr w:type="spellEnd"/>
      <w:r w:rsidRPr="009452F9">
        <w:rPr>
          <w:rFonts w:ascii="Arial" w:hAnsi="Arial" w:cs="Arial"/>
          <w:sz w:val="22"/>
          <w:szCs w:val="22"/>
        </w:rPr>
        <w:t xml:space="preserve"> los 150 </w:t>
      </w:r>
      <w:proofErr w:type="spellStart"/>
      <w:r w:rsidRPr="009452F9">
        <w:rPr>
          <w:rFonts w:ascii="Arial" w:hAnsi="Arial" w:cs="Arial"/>
          <w:sz w:val="22"/>
          <w:szCs w:val="22"/>
        </w:rPr>
        <w:t>kWh</w:t>
      </w:r>
      <w:proofErr w:type="spellEnd"/>
      <w:r w:rsidRPr="009452F9">
        <w:rPr>
          <w:rFonts w:ascii="Arial" w:hAnsi="Arial" w:cs="Arial"/>
          <w:sz w:val="22"/>
          <w:szCs w:val="22"/>
        </w:rPr>
        <w:t xml:space="preserve">/mes libres. </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Para i variando de 1 a 9, </w:t>
      </w:r>
      <w:r w:rsidR="00DB3D70" w:rsidRPr="009452F9">
        <w:rPr>
          <w:rFonts w:ascii="Arial" w:hAnsi="Arial" w:cs="Arial"/>
          <w:sz w:val="22"/>
          <w:szCs w:val="22"/>
        </w:rPr>
        <w:t>el número de segmentos de consumo de la categoría residencial.</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El cargo variable de los usuarios residenciales con MA correspondiente a cada segmento i de consumo (</w:t>
      </w:r>
      <w:proofErr w:type="spellStart"/>
      <w:r w:rsidRPr="009452F9">
        <w:rPr>
          <w:rFonts w:ascii="Arial" w:hAnsi="Arial" w:cs="Arial"/>
          <w:sz w:val="22"/>
          <w:szCs w:val="22"/>
        </w:rPr>
        <w:t>CVMAR</w:t>
      </w:r>
      <w:r w:rsidRPr="009452F9">
        <w:rPr>
          <w:rFonts w:ascii="Arial" w:hAnsi="Arial" w:cs="Arial"/>
          <w:sz w:val="22"/>
          <w:szCs w:val="22"/>
          <w:vertAlign w:val="subscript"/>
        </w:rPr>
        <w:t>i</w:t>
      </w:r>
      <w:proofErr w:type="spellEnd"/>
      <w:r w:rsidRPr="009452F9">
        <w:rPr>
          <w:rFonts w:ascii="Arial" w:hAnsi="Arial" w:cs="Arial"/>
          <w:sz w:val="22"/>
          <w:szCs w:val="22"/>
        </w:rPr>
        <w:t>) viene dado por la siguiente fórmula:</w:t>
      </w:r>
    </w:p>
    <w:p w:rsidR="004A7E30" w:rsidRPr="009452F9" w:rsidRDefault="004A7E30" w:rsidP="0075669D">
      <w:pPr>
        <w:tabs>
          <w:tab w:val="left" w:pos="8647"/>
        </w:tabs>
        <w:suppressAutoHyphens/>
        <w:spacing w:line="480" w:lineRule="auto"/>
        <w:jc w:val="center"/>
        <w:rPr>
          <w:rFonts w:ascii="Arial" w:hAnsi="Arial" w:cs="Arial"/>
          <w:sz w:val="22"/>
          <w:szCs w:val="22"/>
        </w:rPr>
      </w:pPr>
      <w:proofErr w:type="spellStart"/>
      <w:r w:rsidRPr="009452F9">
        <w:rPr>
          <w:rFonts w:ascii="Arial" w:hAnsi="Arial" w:cs="Arial"/>
          <w:sz w:val="22"/>
          <w:szCs w:val="22"/>
        </w:rPr>
        <w:t>CVMAR</w:t>
      </w:r>
      <w:r w:rsidRPr="009452F9">
        <w:rPr>
          <w:rFonts w:ascii="Arial" w:hAnsi="Arial" w:cs="Arial"/>
          <w:sz w:val="22"/>
          <w:szCs w:val="22"/>
          <w:vertAlign w:val="subscript"/>
        </w:rPr>
        <w:t>i</w:t>
      </w:r>
      <w:proofErr w:type="spellEnd"/>
      <w:r w:rsidRPr="009452F9">
        <w:rPr>
          <w:rFonts w:ascii="Arial" w:hAnsi="Arial" w:cs="Arial"/>
          <w:sz w:val="22"/>
          <w:szCs w:val="22"/>
        </w:rPr>
        <w:t xml:space="preserve"> = (</w:t>
      </w:r>
      <w:proofErr w:type="spellStart"/>
      <w:r w:rsidRPr="009452F9">
        <w:rPr>
          <w:rFonts w:ascii="Arial" w:hAnsi="Arial" w:cs="Arial"/>
          <w:sz w:val="22"/>
          <w:szCs w:val="22"/>
        </w:rPr>
        <w:t>Fmax</w:t>
      </w:r>
      <w:r w:rsidRPr="009452F9">
        <w:rPr>
          <w:rFonts w:ascii="Arial" w:hAnsi="Arial" w:cs="Arial"/>
          <w:sz w:val="22"/>
          <w:szCs w:val="22"/>
          <w:vertAlign w:val="subscript"/>
        </w:rPr>
        <w:t>i</w:t>
      </w:r>
      <w:proofErr w:type="spellEnd"/>
      <w:r w:rsidRPr="009452F9">
        <w:rPr>
          <w:rFonts w:ascii="Arial" w:hAnsi="Arial" w:cs="Arial"/>
          <w:sz w:val="22"/>
          <w:szCs w:val="22"/>
        </w:rPr>
        <w:t xml:space="preserve"> – Fmax</w:t>
      </w:r>
      <w:r w:rsidRPr="009452F9">
        <w:rPr>
          <w:rFonts w:ascii="Arial" w:hAnsi="Arial" w:cs="Arial"/>
          <w:sz w:val="22"/>
          <w:szCs w:val="22"/>
          <w:vertAlign w:val="subscript"/>
        </w:rPr>
        <w:t>i-1</w:t>
      </w:r>
      <w:r w:rsidRPr="009452F9">
        <w:rPr>
          <w:rFonts w:ascii="Arial" w:hAnsi="Arial" w:cs="Arial"/>
          <w:sz w:val="22"/>
          <w:szCs w:val="22"/>
        </w:rPr>
        <w:t>) / (</w:t>
      </w:r>
      <w:proofErr w:type="spellStart"/>
      <w:r w:rsidRPr="009452F9">
        <w:rPr>
          <w:rFonts w:ascii="Arial" w:hAnsi="Arial" w:cs="Arial"/>
          <w:sz w:val="22"/>
          <w:szCs w:val="22"/>
        </w:rPr>
        <w:t>Esup</w:t>
      </w:r>
      <w:r w:rsidRPr="009452F9">
        <w:rPr>
          <w:rFonts w:ascii="Arial" w:hAnsi="Arial" w:cs="Arial"/>
          <w:sz w:val="22"/>
          <w:szCs w:val="22"/>
          <w:vertAlign w:val="subscript"/>
        </w:rPr>
        <w:t>i</w:t>
      </w:r>
      <w:proofErr w:type="spellEnd"/>
      <w:r w:rsidRPr="009452F9">
        <w:rPr>
          <w:rFonts w:ascii="Arial" w:hAnsi="Arial" w:cs="Arial"/>
          <w:sz w:val="22"/>
          <w:szCs w:val="22"/>
        </w:rPr>
        <w:t xml:space="preserve"> – Esup</w:t>
      </w:r>
      <w:r w:rsidRPr="009452F9">
        <w:rPr>
          <w:rFonts w:ascii="Arial" w:hAnsi="Arial" w:cs="Arial"/>
          <w:sz w:val="22"/>
          <w:szCs w:val="22"/>
          <w:vertAlign w:val="subscript"/>
        </w:rPr>
        <w:t>i-1</w:t>
      </w:r>
      <w:r w:rsidRPr="009452F9">
        <w:rPr>
          <w:rFonts w:ascii="Arial" w:hAnsi="Arial" w:cs="Arial"/>
          <w:sz w:val="22"/>
          <w:szCs w:val="22"/>
        </w:rPr>
        <w:t>)</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La energía que debe considerarse para determinar el límite superior del último segmento de consumo (Esup</w:t>
      </w:r>
      <w:r w:rsidRPr="009452F9">
        <w:rPr>
          <w:rFonts w:ascii="Arial" w:hAnsi="Arial" w:cs="Arial"/>
          <w:sz w:val="22"/>
          <w:szCs w:val="22"/>
          <w:vertAlign w:val="subscript"/>
        </w:rPr>
        <w:t>9</w:t>
      </w:r>
      <w:r w:rsidRPr="009452F9">
        <w:rPr>
          <w:rFonts w:ascii="Arial" w:hAnsi="Arial" w:cs="Arial"/>
          <w:sz w:val="22"/>
          <w:szCs w:val="22"/>
        </w:rPr>
        <w:t>) es 4700 kWh/mes.</w:t>
      </w:r>
    </w:p>
    <w:p w:rsidR="004A7E30" w:rsidRPr="009452F9" w:rsidRDefault="004A7E30" w:rsidP="0075669D">
      <w:pPr>
        <w:pStyle w:val="Prrafodelista"/>
        <w:numPr>
          <w:ilvl w:val="0"/>
          <w:numId w:val="10"/>
        </w:numPr>
        <w:tabs>
          <w:tab w:val="left" w:pos="8647"/>
        </w:tabs>
        <w:suppressAutoHyphens/>
        <w:spacing w:after="0" w:line="480" w:lineRule="auto"/>
        <w:jc w:val="both"/>
        <w:rPr>
          <w:rFonts w:ascii="Arial" w:hAnsi="Arial" w:cs="Arial"/>
        </w:rPr>
      </w:pPr>
      <w:r w:rsidRPr="009452F9">
        <w:rPr>
          <w:rFonts w:ascii="Arial" w:hAnsi="Arial" w:cs="Arial"/>
        </w:rPr>
        <w:t xml:space="preserve">General </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En el caso de los usuarios generales, el cálculo del cargo variable aplicable para cada segmento i de consumo (para i variando de 1 a 3), </w:t>
      </w:r>
      <w:r w:rsidR="00DB3D70" w:rsidRPr="009452F9">
        <w:rPr>
          <w:rFonts w:ascii="Arial" w:hAnsi="Arial" w:cs="Arial"/>
          <w:sz w:val="22"/>
          <w:szCs w:val="22"/>
        </w:rPr>
        <w:t xml:space="preserve">viene </w:t>
      </w:r>
      <w:r w:rsidRPr="009452F9">
        <w:rPr>
          <w:rFonts w:ascii="Arial" w:hAnsi="Arial" w:cs="Arial"/>
          <w:sz w:val="22"/>
          <w:szCs w:val="22"/>
        </w:rPr>
        <w:t>dado por la fórmula</w:t>
      </w:r>
    </w:p>
    <w:p w:rsidR="004A7E30" w:rsidRPr="009452F9" w:rsidRDefault="004A7E30" w:rsidP="0075669D">
      <w:pPr>
        <w:tabs>
          <w:tab w:val="left" w:pos="8647"/>
        </w:tabs>
        <w:suppressAutoHyphens/>
        <w:spacing w:line="480" w:lineRule="auto"/>
        <w:jc w:val="center"/>
        <w:rPr>
          <w:rFonts w:ascii="Arial" w:hAnsi="Arial" w:cs="Arial"/>
          <w:sz w:val="22"/>
          <w:szCs w:val="22"/>
        </w:rPr>
      </w:pPr>
      <w:proofErr w:type="spellStart"/>
      <w:r w:rsidRPr="009452F9">
        <w:rPr>
          <w:rFonts w:ascii="Arial" w:hAnsi="Arial" w:cs="Arial"/>
          <w:sz w:val="22"/>
          <w:szCs w:val="22"/>
        </w:rPr>
        <w:t>CVMAG</w:t>
      </w:r>
      <w:r w:rsidRPr="009452F9">
        <w:rPr>
          <w:rFonts w:ascii="Arial" w:hAnsi="Arial" w:cs="Arial"/>
          <w:sz w:val="22"/>
          <w:szCs w:val="22"/>
          <w:vertAlign w:val="subscript"/>
        </w:rPr>
        <w:t>i</w:t>
      </w:r>
      <w:proofErr w:type="spellEnd"/>
      <w:r w:rsidRPr="009452F9">
        <w:rPr>
          <w:rFonts w:ascii="Arial" w:hAnsi="Arial" w:cs="Arial"/>
          <w:sz w:val="22"/>
          <w:szCs w:val="22"/>
        </w:rPr>
        <w:t xml:space="preserve"> = (</w:t>
      </w:r>
      <w:proofErr w:type="spellStart"/>
      <w:r w:rsidRPr="009452F9">
        <w:rPr>
          <w:rFonts w:ascii="Arial" w:hAnsi="Arial" w:cs="Arial"/>
          <w:sz w:val="22"/>
          <w:szCs w:val="22"/>
        </w:rPr>
        <w:t>Fmax</w:t>
      </w:r>
      <w:r w:rsidRPr="009452F9">
        <w:rPr>
          <w:rFonts w:ascii="Arial" w:hAnsi="Arial" w:cs="Arial"/>
          <w:sz w:val="22"/>
          <w:szCs w:val="22"/>
          <w:vertAlign w:val="subscript"/>
        </w:rPr>
        <w:t>i</w:t>
      </w:r>
      <w:proofErr w:type="spellEnd"/>
      <w:r w:rsidRPr="009452F9">
        <w:rPr>
          <w:rFonts w:ascii="Arial" w:hAnsi="Arial" w:cs="Arial"/>
          <w:sz w:val="22"/>
          <w:szCs w:val="22"/>
        </w:rPr>
        <w:t xml:space="preserve"> – Fmax</w:t>
      </w:r>
      <w:r w:rsidRPr="009452F9">
        <w:rPr>
          <w:rFonts w:ascii="Arial" w:hAnsi="Arial" w:cs="Arial"/>
          <w:sz w:val="22"/>
          <w:szCs w:val="22"/>
          <w:vertAlign w:val="subscript"/>
        </w:rPr>
        <w:t>i-1</w:t>
      </w:r>
      <w:r w:rsidRPr="009452F9">
        <w:rPr>
          <w:rFonts w:ascii="Arial" w:hAnsi="Arial" w:cs="Arial"/>
          <w:sz w:val="22"/>
          <w:szCs w:val="22"/>
        </w:rPr>
        <w:t>) / (</w:t>
      </w:r>
      <w:proofErr w:type="spellStart"/>
      <w:r w:rsidRPr="009452F9">
        <w:rPr>
          <w:rFonts w:ascii="Arial" w:hAnsi="Arial" w:cs="Arial"/>
          <w:sz w:val="22"/>
          <w:szCs w:val="22"/>
        </w:rPr>
        <w:t>Esup</w:t>
      </w:r>
      <w:r w:rsidRPr="009452F9">
        <w:rPr>
          <w:rFonts w:ascii="Arial" w:hAnsi="Arial" w:cs="Arial"/>
          <w:sz w:val="22"/>
          <w:szCs w:val="22"/>
          <w:vertAlign w:val="subscript"/>
        </w:rPr>
        <w:t>i</w:t>
      </w:r>
      <w:proofErr w:type="spellEnd"/>
      <w:r w:rsidRPr="009452F9">
        <w:rPr>
          <w:rFonts w:ascii="Arial" w:hAnsi="Arial" w:cs="Arial"/>
          <w:sz w:val="22"/>
          <w:szCs w:val="22"/>
        </w:rPr>
        <w:t xml:space="preserve"> – Esup</w:t>
      </w:r>
      <w:r w:rsidRPr="009452F9">
        <w:rPr>
          <w:rFonts w:ascii="Arial" w:hAnsi="Arial" w:cs="Arial"/>
          <w:sz w:val="22"/>
          <w:szCs w:val="22"/>
          <w:vertAlign w:val="subscript"/>
        </w:rPr>
        <w:t>i-1</w:t>
      </w:r>
      <w:r w:rsidRPr="009452F9">
        <w:rPr>
          <w:rFonts w:ascii="Arial" w:hAnsi="Arial" w:cs="Arial"/>
          <w:sz w:val="22"/>
          <w:szCs w:val="22"/>
        </w:rPr>
        <w:t>)</w:t>
      </w:r>
    </w:p>
    <w:p w:rsidR="004A7E30"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La energía que debe considerarse para determinar el límite superior del último segmento de consumo Esup</w:t>
      </w:r>
      <w:r w:rsidRPr="009452F9">
        <w:rPr>
          <w:rFonts w:ascii="Arial" w:hAnsi="Arial" w:cs="Arial"/>
          <w:sz w:val="22"/>
          <w:szCs w:val="22"/>
          <w:vertAlign w:val="subscript"/>
        </w:rPr>
        <w:t>3</w:t>
      </w:r>
      <w:r w:rsidRPr="009452F9">
        <w:rPr>
          <w:rFonts w:ascii="Arial" w:hAnsi="Arial" w:cs="Arial"/>
          <w:sz w:val="22"/>
          <w:szCs w:val="22"/>
        </w:rPr>
        <w:t xml:space="preserve"> es 4800 </w:t>
      </w:r>
      <w:proofErr w:type="spellStart"/>
      <w:r w:rsidRPr="009452F9">
        <w:rPr>
          <w:rFonts w:ascii="Arial" w:hAnsi="Arial" w:cs="Arial"/>
          <w:sz w:val="22"/>
          <w:szCs w:val="22"/>
        </w:rPr>
        <w:t>kWh</w:t>
      </w:r>
      <w:proofErr w:type="spellEnd"/>
      <w:r w:rsidRPr="009452F9">
        <w:rPr>
          <w:rFonts w:ascii="Arial" w:hAnsi="Arial" w:cs="Arial"/>
          <w:sz w:val="22"/>
          <w:szCs w:val="22"/>
        </w:rPr>
        <w:t>/mes.</w:t>
      </w:r>
    </w:p>
    <w:p w:rsidR="0075669D" w:rsidRPr="009452F9" w:rsidRDefault="0075669D" w:rsidP="0075669D">
      <w:pPr>
        <w:tabs>
          <w:tab w:val="left" w:pos="8647"/>
        </w:tabs>
        <w:suppressAutoHyphens/>
        <w:spacing w:line="480" w:lineRule="auto"/>
        <w:jc w:val="both"/>
        <w:rPr>
          <w:rFonts w:ascii="Arial" w:hAnsi="Arial" w:cs="Arial"/>
          <w:sz w:val="22"/>
          <w:szCs w:val="22"/>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Calidad</w:t>
      </w:r>
    </w:p>
    <w:p w:rsidR="004A7E30" w:rsidRPr="009452F9" w:rsidRDefault="00222EC3" w:rsidP="0075669D">
      <w:pPr>
        <w:tabs>
          <w:tab w:val="left" w:pos="8647"/>
        </w:tabs>
        <w:suppressAutoHyphens/>
        <w:spacing w:line="480" w:lineRule="auto"/>
        <w:jc w:val="both"/>
        <w:rPr>
          <w:rFonts w:ascii="Arial" w:hAnsi="Arial" w:cs="Arial"/>
          <w:sz w:val="22"/>
          <w:szCs w:val="22"/>
        </w:rPr>
      </w:pPr>
      <w:r>
        <w:rPr>
          <w:rFonts w:ascii="Arial" w:hAnsi="Arial" w:cs="Arial"/>
          <w:sz w:val="22"/>
          <w:szCs w:val="22"/>
        </w:rPr>
        <w:t>L</w:t>
      </w:r>
      <w:r w:rsidR="004A7E30" w:rsidRPr="009452F9">
        <w:rPr>
          <w:rFonts w:ascii="Arial" w:hAnsi="Arial" w:cs="Arial"/>
          <w:sz w:val="22"/>
          <w:szCs w:val="22"/>
        </w:rPr>
        <w:t xml:space="preserve">a </w:t>
      </w:r>
      <w:r>
        <w:rPr>
          <w:rFonts w:ascii="Arial" w:hAnsi="Arial" w:cs="Arial"/>
          <w:sz w:val="22"/>
          <w:szCs w:val="22"/>
        </w:rPr>
        <w:t>D</w:t>
      </w:r>
      <w:r w:rsidR="004A7E30" w:rsidRPr="009452F9">
        <w:rPr>
          <w:rFonts w:ascii="Arial" w:hAnsi="Arial" w:cs="Arial"/>
          <w:sz w:val="22"/>
          <w:szCs w:val="22"/>
        </w:rPr>
        <w:t>istribuidora deberá contar con personal especialmente cap</w:t>
      </w:r>
      <w:r>
        <w:rPr>
          <w:rFonts w:ascii="Arial" w:hAnsi="Arial" w:cs="Arial"/>
          <w:sz w:val="22"/>
          <w:szCs w:val="22"/>
        </w:rPr>
        <w:t xml:space="preserve">acitado para solucionar las interrupciones del suministro por fallas en la calidad del servicio prestado a </w:t>
      </w:r>
      <w:r w:rsidRPr="009452F9">
        <w:rPr>
          <w:rFonts w:ascii="Arial" w:hAnsi="Arial" w:cs="Arial"/>
          <w:sz w:val="22"/>
          <w:szCs w:val="22"/>
        </w:rPr>
        <w:t xml:space="preserve">los usuarios adheridos a la medición </w:t>
      </w:r>
      <w:proofErr w:type="spellStart"/>
      <w:r w:rsidRPr="009452F9">
        <w:rPr>
          <w:rFonts w:ascii="Arial" w:hAnsi="Arial" w:cs="Arial"/>
          <w:sz w:val="22"/>
          <w:szCs w:val="22"/>
        </w:rPr>
        <w:t>autoadministrada</w:t>
      </w:r>
      <w:proofErr w:type="spellEnd"/>
      <w:r w:rsidR="004A7E30" w:rsidRPr="009452F9">
        <w:rPr>
          <w:rFonts w:ascii="Arial" w:hAnsi="Arial" w:cs="Arial"/>
          <w:sz w:val="22"/>
          <w:szCs w:val="22"/>
        </w:rPr>
        <w:t xml:space="preserve">. </w:t>
      </w:r>
    </w:p>
    <w:p w:rsidR="004A7E30"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Las bonificaciones por calidad de servicio (servicio técnico, producto técnico y calidad comercial) y toda otra bonificación que le correspondiera por incumplimientos de la distribuidora de la normativa vigente serán acreditadas automáticamente en el ticket de compra posterior a la imposición de los cargos a la Distribuidora</w:t>
      </w:r>
      <w:r w:rsidRPr="00CD149B">
        <w:rPr>
          <w:rFonts w:ascii="Arial" w:hAnsi="Arial" w:cs="Arial"/>
          <w:sz w:val="22"/>
          <w:szCs w:val="22"/>
        </w:rPr>
        <w:t>.</w:t>
      </w:r>
      <w:r w:rsidR="00222EC3" w:rsidRPr="00CD149B">
        <w:rPr>
          <w:rFonts w:ascii="Arial" w:hAnsi="Arial" w:cs="Arial"/>
          <w:sz w:val="22"/>
          <w:szCs w:val="22"/>
        </w:rPr>
        <w:t xml:space="preserve"> Su incumplimiento hará pasible a la Distribuidora de la aplicación de una multa con destino al Tesoro</w:t>
      </w:r>
      <w:r w:rsidR="007B634B" w:rsidRPr="00CD149B">
        <w:rPr>
          <w:rFonts w:ascii="Arial" w:hAnsi="Arial" w:cs="Arial"/>
          <w:sz w:val="22"/>
          <w:szCs w:val="22"/>
        </w:rPr>
        <w:t xml:space="preserve"> en los términos del punto 3.2.5-Procedimiento para la determinación de sanciones- pre</w:t>
      </w:r>
      <w:r w:rsidR="007B634B">
        <w:rPr>
          <w:rFonts w:ascii="Arial" w:hAnsi="Arial" w:cs="Arial"/>
          <w:sz w:val="22"/>
          <w:szCs w:val="22"/>
        </w:rPr>
        <w:t xml:space="preserve">visto en las Normas Calidad de Servicio del Subanexo IV de su Contrato de Concesión. </w:t>
      </w:r>
    </w:p>
    <w:p w:rsidR="0075669D" w:rsidRPr="009452F9" w:rsidRDefault="0075669D" w:rsidP="0075669D">
      <w:pPr>
        <w:tabs>
          <w:tab w:val="left" w:pos="8647"/>
        </w:tabs>
        <w:suppressAutoHyphens/>
        <w:spacing w:line="480" w:lineRule="auto"/>
        <w:jc w:val="both"/>
        <w:rPr>
          <w:rFonts w:ascii="Arial" w:hAnsi="Arial" w:cs="Arial"/>
          <w:sz w:val="22"/>
          <w:szCs w:val="22"/>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Reglamento de Suministro</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No serán de aplicación a estos suministros los siguientes puntos del Reglamento de Suministros de Energía Eléctrica para los Servicios Prestados por EDENOR S.A.:</w:t>
      </w:r>
    </w:p>
    <w:p w:rsidR="004A7E30"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Art</w:t>
      </w:r>
      <w:r w:rsidR="0075669D">
        <w:rPr>
          <w:rFonts w:ascii="Arial" w:hAnsi="Arial" w:cs="Arial"/>
          <w:sz w:val="22"/>
          <w:szCs w:val="22"/>
        </w:rPr>
        <w:t>ículo</w:t>
      </w:r>
      <w:r w:rsidRPr="009452F9">
        <w:rPr>
          <w:rFonts w:ascii="Arial" w:hAnsi="Arial" w:cs="Arial"/>
          <w:sz w:val="22"/>
          <w:szCs w:val="22"/>
        </w:rPr>
        <w:t xml:space="preserve"> 2 inciso b) Facturas; Art</w:t>
      </w:r>
      <w:r w:rsidR="0075669D">
        <w:rPr>
          <w:rFonts w:ascii="Arial" w:hAnsi="Arial" w:cs="Arial"/>
          <w:sz w:val="22"/>
          <w:szCs w:val="22"/>
        </w:rPr>
        <w:t>ículo</w:t>
      </w:r>
      <w:r w:rsidRPr="009452F9">
        <w:rPr>
          <w:rFonts w:ascii="Arial" w:hAnsi="Arial" w:cs="Arial"/>
          <w:sz w:val="22"/>
          <w:szCs w:val="22"/>
        </w:rPr>
        <w:t xml:space="preserve"> 5 inciso b) Facturas Im</w:t>
      </w:r>
      <w:r w:rsidR="0075669D">
        <w:rPr>
          <w:rFonts w:ascii="Arial" w:hAnsi="Arial" w:cs="Arial"/>
          <w:sz w:val="22"/>
          <w:szCs w:val="22"/>
        </w:rPr>
        <w:t>pagas; Artículo</w:t>
      </w:r>
      <w:r w:rsidRPr="009452F9">
        <w:rPr>
          <w:rFonts w:ascii="Arial" w:hAnsi="Arial" w:cs="Arial"/>
          <w:sz w:val="22"/>
          <w:szCs w:val="22"/>
        </w:rPr>
        <w:t xml:space="preserve"> 5 inciso c) Depósito de garantía; Art</w:t>
      </w:r>
      <w:r w:rsidR="0075669D">
        <w:rPr>
          <w:rFonts w:ascii="Arial" w:hAnsi="Arial" w:cs="Arial"/>
          <w:sz w:val="22"/>
          <w:szCs w:val="22"/>
        </w:rPr>
        <w:t>ículo</w:t>
      </w:r>
      <w:r w:rsidRPr="009452F9">
        <w:rPr>
          <w:rFonts w:ascii="Arial" w:hAnsi="Arial" w:cs="Arial"/>
          <w:sz w:val="22"/>
          <w:szCs w:val="22"/>
        </w:rPr>
        <w:t xml:space="preserve"> 8, Rehabilitación del Servicio.</w:t>
      </w:r>
    </w:p>
    <w:p w:rsidR="0075669D" w:rsidRPr="009452F9" w:rsidRDefault="0075669D" w:rsidP="0075669D">
      <w:pPr>
        <w:tabs>
          <w:tab w:val="left" w:pos="8647"/>
        </w:tabs>
        <w:suppressAutoHyphens/>
        <w:spacing w:line="480" w:lineRule="auto"/>
        <w:jc w:val="both"/>
        <w:rPr>
          <w:rFonts w:ascii="Arial" w:hAnsi="Arial" w:cs="Arial"/>
          <w:sz w:val="22"/>
          <w:szCs w:val="22"/>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Medidores</w:t>
      </w:r>
    </w:p>
    <w:p w:rsidR="004A7E30" w:rsidRDefault="004A7E30" w:rsidP="0075669D">
      <w:pPr>
        <w:tabs>
          <w:tab w:val="left" w:pos="8647"/>
        </w:tabs>
        <w:suppressAutoHyphens/>
        <w:spacing w:line="480" w:lineRule="auto"/>
        <w:jc w:val="both"/>
        <w:rPr>
          <w:rFonts w:ascii="Arial" w:hAnsi="Arial" w:cs="Arial"/>
          <w:sz w:val="22"/>
          <w:szCs w:val="22"/>
          <w:lang w:val="es-ES"/>
        </w:rPr>
      </w:pPr>
      <w:r w:rsidRPr="009452F9">
        <w:rPr>
          <w:rFonts w:ascii="Arial" w:hAnsi="Arial" w:cs="Arial"/>
          <w:sz w:val="22"/>
          <w:szCs w:val="22"/>
          <w:lang w:val="es-ES"/>
        </w:rPr>
        <w:t>La distribuidora deberá presentar los protocolos de ensayos de exactitud, de aislamiento eléctrico, compatibilidad electromagnética, mecánicos y ambientales (temperatura) realizados en el país de origen de los medidores que se utilicen, con el objeto de obtener una seguridad mínima respecto de su uso, de acuerdo a lo normativa vigente para medidores de facturación eléctrica, tanto en lo relativo a ensayos de tipo y de recepción.</w:t>
      </w:r>
    </w:p>
    <w:p w:rsidR="0075669D" w:rsidRPr="009452F9" w:rsidRDefault="0075669D" w:rsidP="0075669D">
      <w:pPr>
        <w:tabs>
          <w:tab w:val="left" w:pos="8647"/>
        </w:tabs>
        <w:suppressAutoHyphens/>
        <w:spacing w:line="480" w:lineRule="auto"/>
        <w:jc w:val="both"/>
        <w:rPr>
          <w:rFonts w:ascii="Arial" w:hAnsi="Arial" w:cs="Arial"/>
          <w:sz w:val="22"/>
          <w:szCs w:val="22"/>
          <w:lang w:val="es-ES"/>
        </w:rPr>
      </w:pPr>
    </w:p>
    <w:p w:rsidR="004A7E30" w:rsidRPr="009452F9" w:rsidRDefault="004A7E30" w:rsidP="0075669D">
      <w:pPr>
        <w:pStyle w:val="Prrafodelista"/>
        <w:numPr>
          <w:ilvl w:val="0"/>
          <w:numId w:val="8"/>
        </w:numPr>
        <w:tabs>
          <w:tab w:val="left" w:pos="8647"/>
        </w:tabs>
        <w:suppressAutoHyphens/>
        <w:spacing w:after="0" w:line="480" w:lineRule="auto"/>
        <w:jc w:val="both"/>
        <w:rPr>
          <w:rFonts w:ascii="Arial" w:hAnsi="Arial" w:cs="Arial"/>
          <w:b/>
        </w:rPr>
      </w:pPr>
      <w:r w:rsidRPr="009452F9">
        <w:rPr>
          <w:rFonts w:ascii="Arial" w:hAnsi="Arial" w:cs="Arial"/>
          <w:b/>
        </w:rPr>
        <w:t>Información al ENRE</w:t>
      </w:r>
    </w:p>
    <w:p w:rsidR="004A7E30" w:rsidRPr="009452F9" w:rsidRDefault="004A7E30" w:rsidP="0075669D">
      <w:pPr>
        <w:tabs>
          <w:tab w:val="left" w:pos="8647"/>
        </w:tabs>
        <w:suppressAutoHyphens/>
        <w:spacing w:line="480" w:lineRule="auto"/>
        <w:jc w:val="both"/>
        <w:rPr>
          <w:rFonts w:ascii="Arial" w:hAnsi="Arial" w:cs="Arial"/>
          <w:sz w:val="22"/>
          <w:szCs w:val="22"/>
        </w:rPr>
      </w:pPr>
      <w:r w:rsidRPr="009452F9">
        <w:rPr>
          <w:rFonts w:ascii="Arial" w:hAnsi="Arial" w:cs="Arial"/>
          <w:sz w:val="22"/>
          <w:szCs w:val="22"/>
        </w:rPr>
        <w:t xml:space="preserve">La distribuidora deberá incorporar en a la Tabla 21 referida a la Tarifa Social y con el detalle allí requerido, la información correspondiente a los suministros con </w:t>
      </w:r>
      <w:r w:rsidRPr="009452F9">
        <w:rPr>
          <w:rFonts w:ascii="Arial" w:hAnsi="Arial" w:cs="Arial"/>
          <w:sz w:val="22"/>
          <w:szCs w:val="22"/>
          <w:lang w:val="es-ES"/>
        </w:rPr>
        <w:t>medidores auto administrados. De idéntica manera, para el resto de los usuarios no encuadrados en Tarifa Social, deberá producir la información correspondiente de acuerdo al modelo de datos establecido, indicando que cuenta con medidor autoadministrado. Además deberá suministrar toda información adicional que el ENRE estime necesaria para llevar adelante las tareas de seguimiento y control respecto de los MA.</w:t>
      </w:r>
    </w:p>
    <w:sectPr w:rsidR="004A7E30" w:rsidRPr="009452F9" w:rsidSect="00712323">
      <w:headerReference w:type="default" r:id="rId8"/>
      <w:footerReference w:type="even" r:id="rId9"/>
      <w:footerReference w:type="default" r:id="rId10"/>
      <w:pgSz w:w="11906" w:h="16838" w:code="9"/>
      <w:pgMar w:top="2268" w:right="707" w:bottom="1418" w:left="2268" w:header="720" w:footer="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E6" w:rsidRDefault="00BA70E6">
      <w:r>
        <w:separator/>
      </w:r>
    </w:p>
  </w:endnote>
  <w:endnote w:type="continuationSeparator" w:id="0">
    <w:p w:rsidR="00BA70E6" w:rsidRDefault="00BA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w:altName w:val="Times New Roman"/>
    <w:panose1 w:val="00000000000000000000"/>
    <w:charset w:val="FF"/>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2F" w:rsidRDefault="00C754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7542F" w:rsidRDefault="00C7542F">
    <w:pPr>
      <w:pStyle w:val="Piedepgina"/>
    </w:pPr>
  </w:p>
  <w:p w:rsidR="00C7542F" w:rsidRDefault="00C754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22643"/>
      <w:docPartObj>
        <w:docPartGallery w:val="Page Numbers (Bottom of Page)"/>
        <w:docPartUnique/>
      </w:docPartObj>
    </w:sdtPr>
    <w:sdtEndPr>
      <w:rPr>
        <w:rFonts w:ascii="Arial" w:hAnsi="Arial" w:cs="Arial"/>
        <w:sz w:val="16"/>
        <w:szCs w:val="16"/>
      </w:rPr>
    </w:sdtEndPr>
    <w:sdtContent>
      <w:p w:rsidR="00A068B2" w:rsidRPr="00A068B2" w:rsidRDefault="00A068B2">
        <w:pPr>
          <w:pStyle w:val="Piedepgina"/>
          <w:jc w:val="center"/>
          <w:rPr>
            <w:rFonts w:ascii="Arial" w:hAnsi="Arial" w:cs="Arial"/>
            <w:sz w:val="16"/>
            <w:szCs w:val="16"/>
          </w:rPr>
        </w:pPr>
        <w:r w:rsidRPr="00A068B2">
          <w:rPr>
            <w:rFonts w:ascii="Arial" w:hAnsi="Arial" w:cs="Arial"/>
            <w:sz w:val="16"/>
            <w:szCs w:val="16"/>
          </w:rPr>
          <w:fldChar w:fldCharType="begin"/>
        </w:r>
        <w:r w:rsidRPr="00A068B2">
          <w:rPr>
            <w:rFonts w:ascii="Arial" w:hAnsi="Arial" w:cs="Arial"/>
            <w:sz w:val="16"/>
            <w:szCs w:val="16"/>
          </w:rPr>
          <w:instrText>PAGE   \* MERGEFORMAT</w:instrText>
        </w:r>
        <w:r w:rsidRPr="00A068B2">
          <w:rPr>
            <w:rFonts w:ascii="Arial" w:hAnsi="Arial" w:cs="Arial"/>
            <w:sz w:val="16"/>
            <w:szCs w:val="16"/>
          </w:rPr>
          <w:fldChar w:fldCharType="separate"/>
        </w:r>
        <w:r w:rsidR="00E71C7F" w:rsidRPr="00E71C7F">
          <w:rPr>
            <w:rFonts w:ascii="Arial" w:hAnsi="Arial" w:cs="Arial"/>
            <w:noProof/>
            <w:sz w:val="16"/>
            <w:szCs w:val="16"/>
            <w:lang w:val="es-ES"/>
          </w:rPr>
          <w:t>6</w:t>
        </w:r>
        <w:r w:rsidRPr="00A068B2">
          <w:rPr>
            <w:rFonts w:ascii="Arial" w:hAnsi="Arial" w:cs="Arial"/>
            <w:sz w:val="16"/>
            <w:szCs w:val="16"/>
          </w:rPr>
          <w:fldChar w:fldCharType="end"/>
        </w:r>
      </w:p>
    </w:sdtContent>
  </w:sdt>
  <w:p w:rsidR="00C7542F" w:rsidRDefault="00C7542F" w:rsidP="00B427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E6" w:rsidRDefault="00BA70E6">
      <w:r>
        <w:separator/>
      </w:r>
    </w:p>
  </w:footnote>
  <w:footnote w:type="continuationSeparator" w:id="0">
    <w:p w:rsidR="00BA70E6" w:rsidRDefault="00BA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5E0" w:firstRow="1" w:lastRow="1" w:firstColumn="1" w:lastColumn="1" w:noHBand="0" w:noVBand="1"/>
    </w:tblPr>
    <w:tblGrid>
      <w:gridCol w:w="4536"/>
      <w:gridCol w:w="4928"/>
    </w:tblGrid>
    <w:tr w:rsidR="00A068B2" w:rsidTr="00A068B2">
      <w:tc>
        <w:tcPr>
          <w:tcW w:w="4536" w:type="dxa"/>
        </w:tcPr>
        <w:p w:rsidR="00A068B2" w:rsidRDefault="00A068B2">
          <w:pPr>
            <w:pStyle w:val="Encabezado"/>
          </w:pPr>
          <w:r>
            <w:rPr>
              <w:noProof/>
              <w:lang w:val="es-AR" w:eastAsia="es-AR"/>
            </w:rPr>
            <w:drawing>
              <wp:inline distT="0" distB="0" distL="0" distR="0">
                <wp:extent cx="1428750" cy="7143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A068B2" w:rsidRDefault="00A068B2" w:rsidP="00A068B2">
          <w:pPr>
            <w:pStyle w:val="Encabezado"/>
            <w:jc w:val="right"/>
          </w:pPr>
          <w:r>
            <w:rPr>
              <w:noProof/>
              <w:lang w:val="es-AR" w:eastAsia="es-AR"/>
            </w:rPr>
            <w:drawing>
              <wp:inline distT="0" distB="0" distL="0" distR="0">
                <wp:extent cx="2314575" cy="171450"/>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A068B2" w:rsidRDefault="00A068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A0D"/>
    <w:multiLevelType w:val="hybridMultilevel"/>
    <w:tmpl w:val="65F6EC50"/>
    <w:lvl w:ilvl="0" w:tplc="883857F2">
      <w:start w:val="1"/>
      <w:numFmt w:val="decimal"/>
      <w:lvlText w:val="%1."/>
      <w:lvlJc w:val="left"/>
      <w:pPr>
        <w:tabs>
          <w:tab w:val="num" w:pos="36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7C3481"/>
    <w:multiLevelType w:val="hybridMultilevel"/>
    <w:tmpl w:val="D144DD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FA172A"/>
    <w:multiLevelType w:val="hybridMultilevel"/>
    <w:tmpl w:val="A240E9C6"/>
    <w:lvl w:ilvl="0" w:tplc="2C0A001B">
      <w:start w:val="1"/>
      <w:numFmt w:val="low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627251B"/>
    <w:multiLevelType w:val="hybridMultilevel"/>
    <w:tmpl w:val="55DAF8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1F4767F"/>
    <w:multiLevelType w:val="hybridMultilevel"/>
    <w:tmpl w:val="11E85098"/>
    <w:lvl w:ilvl="0" w:tplc="47E6A7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9705CB"/>
    <w:multiLevelType w:val="hybridMultilevel"/>
    <w:tmpl w:val="D67CD518"/>
    <w:lvl w:ilvl="0" w:tplc="0C0A001B">
      <w:start w:val="1"/>
      <w:numFmt w:val="lowerRoman"/>
      <w:lvlText w:val="%1."/>
      <w:lvlJc w:val="righ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D5D7960"/>
    <w:multiLevelType w:val="hybridMultilevel"/>
    <w:tmpl w:val="D84EA9D2"/>
    <w:lvl w:ilvl="0" w:tplc="7A9E5B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D9A6F05"/>
    <w:multiLevelType w:val="hybridMultilevel"/>
    <w:tmpl w:val="C85859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6D63F3B"/>
    <w:multiLevelType w:val="hybridMultilevel"/>
    <w:tmpl w:val="510EE784"/>
    <w:lvl w:ilvl="0" w:tplc="0C0A0003">
      <w:start w:val="1"/>
      <w:numFmt w:val="bullet"/>
      <w:lvlText w:val="o"/>
      <w:lvlJc w:val="left"/>
      <w:pPr>
        <w:tabs>
          <w:tab w:val="num" w:pos="1224"/>
        </w:tabs>
        <w:ind w:left="1224" w:hanging="360"/>
      </w:pPr>
      <w:rPr>
        <w:rFonts w:ascii="Courier New" w:hAnsi="Courier New" w:hint="default"/>
      </w:rPr>
    </w:lvl>
    <w:lvl w:ilvl="1" w:tplc="0C0A0003" w:tentative="1">
      <w:start w:val="1"/>
      <w:numFmt w:val="bullet"/>
      <w:lvlText w:val="o"/>
      <w:lvlJc w:val="left"/>
      <w:pPr>
        <w:tabs>
          <w:tab w:val="num" w:pos="1944"/>
        </w:tabs>
        <w:ind w:left="1944" w:hanging="360"/>
      </w:pPr>
      <w:rPr>
        <w:rFonts w:ascii="Courier New" w:hAnsi="Courier New" w:hint="default"/>
      </w:rPr>
    </w:lvl>
    <w:lvl w:ilvl="2" w:tplc="0C0A0005" w:tentative="1">
      <w:start w:val="1"/>
      <w:numFmt w:val="bullet"/>
      <w:lvlText w:val=""/>
      <w:lvlJc w:val="left"/>
      <w:pPr>
        <w:tabs>
          <w:tab w:val="num" w:pos="2664"/>
        </w:tabs>
        <w:ind w:left="2664" w:hanging="360"/>
      </w:pPr>
      <w:rPr>
        <w:rFonts w:ascii="Wingdings" w:hAnsi="Wingdings" w:hint="default"/>
      </w:rPr>
    </w:lvl>
    <w:lvl w:ilvl="3" w:tplc="0C0A0001" w:tentative="1">
      <w:start w:val="1"/>
      <w:numFmt w:val="bullet"/>
      <w:lvlText w:val=""/>
      <w:lvlJc w:val="left"/>
      <w:pPr>
        <w:tabs>
          <w:tab w:val="num" w:pos="3384"/>
        </w:tabs>
        <w:ind w:left="3384" w:hanging="360"/>
      </w:pPr>
      <w:rPr>
        <w:rFonts w:ascii="Symbol" w:hAnsi="Symbol" w:hint="default"/>
      </w:rPr>
    </w:lvl>
    <w:lvl w:ilvl="4" w:tplc="0C0A0003" w:tentative="1">
      <w:start w:val="1"/>
      <w:numFmt w:val="bullet"/>
      <w:lvlText w:val="o"/>
      <w:lvlJc w:val="left"/>
      <w:pPr>
        <w:tabs>
          <w:tab w:val="num" w:pos="4104"/>
        </w:tabs>
        <w:ind w:left="4104" w:hanging="360"/>
      </w:pPr>
      <w:rPr>
        <w:rFonts w:ascii="Courier New" w:hAnsi="Courier New" w:hint="default"/>
      </w:rPr>
    </w:lvl>
    <w:lvl w:ilvl="5" w:tplc="0C0A0005" w:tentative="1">
      <w:start w:val="1"/>
      <w:numFmt w:val="bullet"/>
      <w:lvlText w:val=""/>
      <w:lvlJc w:val="left"/>
      <w:pPr>
        <w:tabs>
          <w:tab w:val="num" w:pos="4824"/>
        </w:tabs>
        <w:ind w:left="4824" w:hanging="360"/>
      </w:pPr>
      <w:rPr>
        <w:rFonts w:ascii="Wingdings" w:hAnsi="Wingdings" w:hint="default"/>
      </w:rPr>
    </w:lvl>
    <w:lvl w:ilvl="6" w:tplc="0C0A0001" w:tentative="1">
      <w:start w:val="1"/>
      <w:numFmt w:val="bullet"/>
      <w:lvlText w:val=""/>
      <w:lvlJc w:val="left"/>
      <w:pPr>
        <w:tabs>
          <w:tab w:val="num" w:pos="5544"/>
        </w:tabs>
        <w:ind w:left="5544" w:hanging="360"/>
      </w:pPr>
      <w:rPr>
        <w:rFonts w:ascii="Symbol" w:hAnsi="Symbol" w:hint="default"/>
      </w:rPr>
    </w:lvl>
    <w:lvl w:ilvl="7" w:tplc="0C0A0003" w:tentative="1">
      <w:start w:val="1"/>
      <w:numFmt w:val="bullet"/>
      <w:lvlText w:val="o"/>
      <w:lvlJc w:val="left"/>
      <w:pPr>
        <w:tabs>
          <w:tab w:val="num" w:pos="6264"/>
        </w:tabs>
        <w:ind w:left="6264" w:hanging="360"/>
      </w:pPr>
      <w:rPr>
        <w:rFonts w:ascii="Courier New" w:hAnsi="Courier New" w:hint="default"/>
      </w:rPr>
    </w:lvl>
    <w:lvl w:ilvl="8" w:tplc="0C0A0005" w:tentative="1">
      <w:start w:val="1"/>
      <w:numFmt w:val="bullet"/>
      <w:lvlText w:val=""/>
      <w:lvlJc w:val="left"/>
      <w:pPr>
        <w:tabs>
          <w:tab w:val="num" w:pos="6984"/>
        </w:tabs>
        <w:ind w:left="6984" w:hanging="360"/>
      </w:pPr>
      <w:rPr>
        <w:rFonts w:ascii="Wingdings" w:hAnsi="Wingdings" w:hint="default"/>
      </w:rPr>
    </w:lvl>
  </w:abstractNum>
  <w:abstractNum w:abstractNumId="9" w15:restartNumberingAfterBreak="0">
    <w:nsid w:val="7FAC40B5"/>
    <w:multiLevelType w:val="singleLevel"/>
    <w:tmpl w:val="539CDBD6"/>
    <w:lvl w:ilvl="0">
      <w:start w:val="2"/>
      <w:numFmt w:val="upperRoman"/>
      <w:lvlText w:val="%1."/>
      <w:lvlJc w:val="left"/>
      <w:pPr>
        <w:tabs>
          <w:tab w:val="num" w:pos="720"/>
        </w:tabs>
        <w:ind w:left="720" w:hanging="720"/>
      </w:pPr>
      <w:rPr>
        <w:rFonts w:hint="default"/>
      </w:rPr>
    </w:lvl>
  </w:abstractNum>
  <w:num w:numId="1">
    <w:abstractNumId w:val="9"/>
  </w:num>
  <w:num w:numId="2">
    <w:abstractNumId w:val="5"/>
  </w:num>
  <w:num w:numId="3">
    <w:abstractNumId w:val="8"/>
  </w:num>
  <w:num w:numId="4">
    <w:abstractNumId w:val="0"/>
  </w:num>
  <w:num w:numId="5">
    <w:abstractNumId w:val="3"/>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s-ES_tradnl" w:vendorID="9" w:dllVersion="512" w:checkStyle="1"/>
  <w:activeWritingStyle w:appName="MSWord" w:lang="es-A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8E"/>
    <w:rsid w:val="00010EEF"/>
    <w:rsid w:val="00021AE7"/>
    <w:rsid w:val="00025E84"/>
    <w:rsid w:val="000262BF"/>
    <w:rsid w:val="00026D7B"/>
    <w:rsid w:val="0003140A"/>
    <w:rsid w:val="00041EA0"/>
    <w:rsid w:val="00042BF6"/>
    <w:rsid w:val="000461B2"/>
    <w:rsid w:val="0004673D"/>
    <w:rsid w:val="0005404C"/>
    <w:rsid w:val="0007605B"/>
    <w:rsid w:val="00096576"/>
    <w:rsid w:val="00097888"/>
    <w:rsid w:val="000C4B6C"/>
    <w:rsid w:val="000C4FED"/>
    <w:rsid w:val="000F615C"/>
    <w:rsid w:val="00110A58"/>
    <w:rsid w:val="00114C29"/>
    <w:rsid w:val="00115C20"/>
    <w:rsid w:val="00132E43"/>
    <w:rsid w:val="0013450B"/>
    <w:rsid w:val="00134BC5"/>
    <w:rsid w:val="001417BB"/>
    <w:rsid w:val="00171145"/>
    <w:rsid w:val="00172DDF"/>
    <w:rsid w:val="00184C09"/>
    <w:rsid w:val="001A1584"/>
    <w:rsid w:val="001A253B"/>
    <w:rsid w:val="001B7E06"/>
    <w:rsid w:val="001C078C"/>
    <w:rsid w:val="001C4BA7"/>
    <w:rsid w:val="001C6F6C"/>
    <w:rsid w:val="001D01EA"/>
    <w:rsid w:val="001D2F65"/>
    <w:rsid w:val="001E26B3"/>
    <w:rsid w:val="001E74C9"/>
    <w:rsid w:val="001F67AF"/>
    <w:rsid w:val="002047FA"/>
    <w:rsid w:val="00205003"/>
    <w:rsid w:val="00207D73"/>
    <w:rsid w:val="00211D60"/>
    <w:rsid w:val="00213DB5"/>
    <w:rsid w:val="00220494"/>
    <w:rsid w:val="00220DD1"/>
    <w:rsid w:val="00221D50"/>
    <w:rsid w:val="00222EC3"/>
    <w:rsid w:val="00234361"/>
    <w:rsid w:val="002358F7"/>
    <w:rsid w:val="00242520"/>
    <w:rsid w:val="00243793"/>
    <w:rsid w:val="00243CDD"/>
    <w:rsid w:val="002B21A5"/>
    <w:rsid w:val="002C25A2"/>
    <w:rsid w:val="002C4184"/>
    <w:rsid w:val="002D0661"/>
    <w:rsid w:val="002D1C19"/>
    <w:rsid w:val="002E355B"/>
    <w:rsid w:val="002E6FE6"/>
    <w:rsid w:val="002E7AC5"/>
    <w:rsid w:val="002F7043"/>
    <w:rsid w:val="0030245E"/>
    <w:rsid w:val="00306BB4"/>
    <w:rsid w:val="00320DD2"/>
    <w:rsid w:val="00327C09"/>
    <w:rsid w:val="003301CE"/>
    <w:rsid w:val="00354AA4"/>
    <w:rsid w:val="003632CE"/>
    <w:rsid w:val="00365070"/>
    <w:rsid w:val="0036508E"/>
    <w:rsid w:val="00366866"/>
    <w:rsid w:val="00367E7A"/>
    <w:rsid w:val="00381F99"/>
    <w:rsid w:val="003957E7"/>
    <w:rsid w:val="003A7651"/>
    <w:rsid w:val="003B1560"/>
    <w:rsid w:val="003B4E72"/>
    <w:rsid w:val="003C09A9"/>
    <w:rsid w:val="003C1717"/>
    <w:rsid w:val="003C4F2D"/>
    <w:rsid w:val="003C7230"/>
    <w:rsid w:val="003D26D4"/>
    <w:rsid w:val="003E0D93"/>
    <w:rsid w:val="003E19BE"/>
    <w:rsid w:val="003E6AFC"/>
    <w:rsid w:val="003F1445"/>
    <w:rsid w:val="00404F0D"/>
    <w:rsid w:val="004209E7"/>
    <w:rsid w:val="00422BDF"/>
    <w:rsid w:val="00444BC0"/>
    <w:rsid w:val="004457B1"/>
    <w:rsid w:val="00445BF3"/>
    <w:rsid w:val="00470BD2"/>
    <w:rsid w:val="00491AEC"/>
    <w:rsid w:val="004A5FAD"/>
    <w:rsid w:val="004A7AEA"/>
    <w:rsid w:val="004A7E30"/>
    <w:rsid w:val="004B7EFA"/>
    <w:rsid w:val="004D1F50"/>
    <w:rsid w:val="004D3F8C"/>
    <w:rsid w:val="004D416F"/>
    <w:rsid w:val="004D699E"/>
    <w:rsid w:val="00514E9B"/>
    <w:rsid w:val="00520999"/>
    <w:rsid w:val="00545F7E"/>
    <w:rsid w:val="00547871"/>
    <w:rsid w:val="005557DC"/>
    <w:rsid w:val="005568CD"/>
    <w:rsid w:val="005618B1"/>
    <w:rsid w:val="0056271E"/>
    <w:rsid w:val="0058694F"/>
    <w:rsid w:val="005977A3"/>
    <w:rsid w:val="005A2A97"/>
    <w:rsid w:val="005A7E1B"/>
    <w:rsid w:val="005B16B1"/>
    <w:rsid w:val="005C0E8E"/>
    <w:rsid w:val="005E026F"/>
    <w:rsid w:val="005E29E0"/>
    <w:rsid w:val="005E30D1"/>
    <w:rsid w:val="005F1C6C"/>
    <w:rsid w:val="00602B82"/>
    <w:rsid w:val="006135DC"/>
    <w:rsid w:val="00614332"/>
    <w:rsid w:val="00624A50"/>
    <w:rsid w:val="00650E1A"/>
    <w:rsid w:val="00651913"/>
    <w:rsid w:val="006602EC"/>
    <w:rsid w:val="006735FC"/>
    <w:rsid w:val="00696EA8"/>
    <w:rsid w:val="006A361F"/>
    <w:rsid w:val="006B1607"/>
    <w:rsid w:val="006C0B12"/>
    <w:rsid w:val="006C190D"/>
    <w:rsid w:val="006C19E0"/>
    <w:rsid w:val="006C2D62"/>
    <w:rsid w:val="006D4BA4"/>
    <w:rsid w:val="006E2CA8"/>
    <w:rsid w:val="006F4095"/>
    <w:rsid w:val="00700065"/>
    <w:rsid w:val="007019EA"/>
    <w:rsid w:val="00704AB4"/>
    <w:rsid w:val="00712323"/>
    <w:rsid w:val="007245B1"/>
    <w:rsid w:val="007324E3"/>
    <w:rsid w:val="00737CB1"/>
    <w:rsid w:val="00742A37"/>
    <w:rsid w:val="007460D2"/>
    <w:rsid w:val="0075669D"/>
    <w:rsid w:val="00770B1E"/>
    <w:rsid w:val="00781A19"/>
    <w:rsid w:val="00783AE4"/>
    <w:rsid w:val="007934CB"/>
    <w:rsid w:val="00797B86"/>
    <w:rsid w:val="007A29EE"/>
    <w:rsid w:val="007A42D4"/>
    <w:rsid w:val="007B3369"/>
    <w:rsid w:val="007B634B"/>
    <w:rsid w:val="007C3BE5"/>
    <w:rsid w:val="007D3277"/>
    <w:rsid w:val="007F1F4A"/>
    <w:rsid w:val="00805C48"/>
    <w:rsid w:val="0081263E"/>
    <w:rsid w:val="008131A1"/>
    <w:rsid w:val="00832660"/>
    <w:rsid w:val="00836389"/>
    <w:rsid w:val="00841B10"/>
    <w:rsid w:val="00844679"/>
    <w:rsid w:val="0085341F"/>
    <w:rsid w:val="00862718"/>
    <w:rsid w:val="0087423E"/>
    <w:rsid w:val="0089471E"/>
    <w:rsid w:val="008A357C"/>
    <w:rsid w:val="008A5B7D"/>
    <w:rsid w:val="008B7293"/>
    <w:rsid w:val="008C7BBD"/>
    <w:rsid w:val="008E04B6"/>
    <w:rsid w:val="008E2C00"/>
    <w:rsid w:val="008E2FD8"/>
    <w:rsid w:val="008E37E9"/>
    <w:rsid w:val="008F1185"/>
    <w:rsid w:val="009327CA"/>
    <w:rsid w:val="00937B48"/>
    <w:rsid w:val="00944D04"/>
    <w:rsid w:val="009452F9"/>
    <w:rsid w:val="009466C7"/>
    <w:rsid w:val="009577FD"/>
    <w:rsid w:val="009849AE"/>
    <w:rsid w:val="00993B6D"/>
    <w:rsid w:val="009960F1"/>
    <w:rsid w:val="009A38F6"/>
    <w:rsid w:val="009C3731"/>
    <w:rsid w:val="009D16A8"/>
    <w:rsid w:val="009D384E"/>
    <w:rsid w:val="009E5603"/>
    <w:rsid w:val="009F074B"/>
    <w:rsid w:val="009F5B0D"/>
    <w:rsid w:val="00A068B2"/>
    <w:rsid w:val="00A226AF"/>
    <w:rsid w:val="00A26F13"/>
    <w:rsid w:val="00A373CC"/>
    <w:rsid w:val="00A54279"/>
    <w:rsid w:val="00A74546"/>
    <w:rsid w:val="00A8529D"/>
    <w:rsid w:val="00A96CA8"/>
    <w:rsid w:val="00AA34BC"/>
    <w:rsid w:val="00AA7A9C"/>
    <w:rsid w:val="00AC0130"/>
    <w:rsid w:val="00AC0E2A"/>
    <w:rsid w:val="00AC3B55"/>
    <w:rsid w:val="00AC4498"/>
    <w:rsid w:val="00AD544D"/>
    <w:rsid w:val="00AD6A68"/>
    <w:rsid w:val="00AE3D99"/>
    <w:rsid w:val="00B05EE6"/>
    <w:rsid w:val="00B10633"/>
    <w:rsid w:val="00B23D4F"/>
    <w:rsid w:val="00B42734"/>
    <w:rsid w:val="00B43FD4"/>
    <w:rsid w:val="00B44E4E"/>
    <w:rsid w:val="00B5073C"/>
    <w:rsid w:val="00B53983"/>
    <w:rsid w:val="00B54520"/>
    <w:rsid w:val="00B546AF"/>
    <w:rsid w:val="00B60D8F"/>
    <w:rsid w:val="00B71779"/>
    <w:rsid w:val="00B7406F"/>
    <w:rsid w:val="00B7599E"/>
    <w:rsid w:val="00B8336E"/>
    <w:rsid w:val="00B847B1"/>
    <w:rsid w:val="00B92DDD"/>
    <w:rsid w:val="00B95ACF"/>
    <w:rsid w:val="00BA4827"/>
    <w:rsid w:val="00BA70E6"/>
    <w:rsid w:val="00BC5595"/>
    <w:rsid w:val="00BD295D"/>
    <w:rsid w:val="00BD2C76"/>
    <w:rsid w:val="00BE1363"/>
    <w:rsid w:val="00BE2725"/>
    <w:rsid w:val="00C01679"/>
    <w:rsid w:val="00C01E3D"/>
    <w:rsid w:val="00C104AC"/>
    <w:rsid w:val="00C12CBF"/>
    <w:rsid w:val="00C20450"/>
    <w:rsid w:val="00C300E8"/>
    <w:rsid w:val="00C32134"/>
    <w:rsid w:val="00C33F23"/>
    <w:rsid w:val="00C555F9"/>
    <w:rsid w:val="00C62250"/>
    <w:rsid w:val="00C65722"/>
    <w:rsid w:val="00C6631A"/>
    <w:rsid w:val="00C712D6"/>
    <w:rsid w:val="00C7542F"/>
    <w:rsid w:val="00C90CEC"/>
    <w:rsid w:val="00CB26ED"/>
    <w:rsid w:val="00CC5A52"/>
    <w:rsid w:val="00CC6335"/>
    <w:rsid w:val="00CD149B"/>
    <w:rsid w:val="00CD6FD6"/>
    <w:rsid w:val="00CE0697"/>
    <w:rsid w:val="00CE40A3"/>
    <w:rsid w:val="00CE78B6"/>
    <w:rsid w:val="00CF147B"/>
    <w:rsid w:val="00CF5D74"/>
    <w:rsid w:val="00CF6786"/>
    <w:rsid w:val="00D00F1B"/>
    <w:rsid w:val="00D2783E"/>
    <w:rsid w:val="00D360D6"/>
    <w:rsid w:val="00D47BEE"/>
    <w:rsid w:val="00D51336"/>
    <w:rsid w:val="00D53329"/>
    <w:rsid w:val="00D5417A"/>
    <w:rsid w:val="00D577A2"/>
    <w:rsid w:val="00D61C33"/>
    <w:rsid w:val="00D728D6"/>
    <w:rsid w:val="00D878B5"/>
    <w:rsid w:val="00D91706"/>
    <w:rsid w:val="00DA1D46"/>
    <w:rsid w:val="00DA2035"/>
    <w:rsid w:val="00DB3D70"/>
    <w:rsid w:val="00DC7105"/>
    <w:rsid w:val="00DD45CB"/>
    <w:rsid w:val="00DD71DE"/>
    <w:rsid w:val="00DF19E3"/>
    <w:rsid w:val="00DF4ED7"/>
    <w:rsid w:val="00E01EE2"/>
    <w:rsid w:val="00E050EE"/>
    <w:rsid w:val="00E06FD5"/>
    <w:rsid w:val="00E119FE"/>
    <w:rsid w:val="00E16659"/>
    <w:rsid w:val="00E44E10"/>
    <w:rsid w:val="00E5278A"/>
    <w:rsid w:val="00E573DF"/>
    <w:rsid w:val="00E71C7F"/>
    <w:rsid w:val="00E723A5"/>
    <w:rsid w:val="00E73CDF"/>
    <w:rsid w:val="00E80841"/>
    <w:rsid w:val="00E82877"/>
    <w:rsid w:val="00E87725"/>
    <w:rsid w:val="00E91FDE"/>
    <w:rsid w:val="00E9546F"/>
    <w:rsid w:val="00E95FE9"/>
    <w:rsid w:val="00E966B2"/>
    <w:rsid w:val="00EB0CB4"/>
    <w:rsid w:val="00EB41B9"/>
    <w:rsid w:val="00EB4FC2"/>
    <w:rsid w:val="00ED135D"/>
    <w:rsid w:val="00ED7696"/>
    <w:rsid w:val="00EE168D"/>
    <w:rsid w:val="00EE4BC4"/>
    <w:rsid w:val="00F13A22"/>
    <w:rsid w:val="00F17F23"/>
    <w:rsid w:val="00F30294"/>
    <w:rsid w:val="00F3032F"/>
    <w:rsid w:val="00F50B10"/>
    <w:rsid w:val="00F56973"/>
    <w:rsid w:val="00F83408"/>
    <w:rsid w:val="00F92E65"/>
    <w:rsid w:val="00F9306E"/>
    <w:rsid w:val="00FB50D4"/>
    <w:rsid w:val="00FB5EB1"/>
    <w:rsid w:val="00FC1852"/>
    <w:rsid w:val="00FC2BD3"/>
    <w:rsid w:val="00FE0311"/>
    <w:rsid w:val="00FE49B7"/>
    <w:rsid w:val="00FF52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48392DB0-EFC2-43B4-AF0E-8376AA83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lang w:val="es-ES_tradnl" w:eastAsia="es-ES"/>
    </w:rPr>
  </w:style>
  <w:style w:type="paragraph" w:styleId="Ttulo1">
    <w:name w:val="heading 1"/>
    <w:basedOn w:val="Normal"/>
    <w:next w:val="Normal"/>
    <w:qFormat/>
    <w:pPr>
      <w:keepNext/>
      <w:outlineLvl w:val="0"/>
    </w:pPr>
    <w:rPr>
      <w:rFonts w:ascii="Times New Roman" w:hAnsi="Times New Roman"/>
      <w:b/>
      <w:sz w:val="24"/>
      <w:lang w:val="es-AR"/>
    </w:rPr>
  </w:style>
  <w:style w:type="paragraph" w:styleId="Ttulo2">
    <w:name w:val="heading 2"/>
    <w:basedOn w:val="Normal"/>
    <w:next w:val="Normal"/>
    <w:qFormat/>
    <w:pPr>
      <w:keepNext/>
      <w:jc w:val="both"/>
      <w:outlineLvl w:val="1"/>
    </w:pPr>
    <w:rPr>
      <w:rFonts w:ascii="Times New Roman" w:hAnsi="Times New Roman"/>
      <w:b/>
      <w:sz w:val="24"/>
      <w:lang w:val="es-AR"/>
    </w:rPr>
  </w:style>
  <w:style w:type="paragraph" w:styleId="Ttulo3">
    <w:name w:val="heading 3"/>
    <w:basedOn w:val="Normal"/>
    <w:next w:val="Normal"/>
    <w:qFormat/>
    <w:pPr>
      <w:keepNext/>
      <w:jc w:val="both"/>
      <w:outlineLvl w:val="2"/>
    </w:pPr>
    <w:rPr>
      <w:rFonts w:ascii="Arial" w:hAnsi="Arial"/>
      <w:b/>
      <w:bCs/>
      <w:sz w:val="22"/>
      <w:lang w:val="es-AR"/>
    </w:rPr>
  </w:style>
  <w:style w:type="paragraph" w:styleId="Ttulo4">
    <w:name w:val="heading 4"/>
    <w:basedOn w:val="Normal"/>
    <w:next w:val="Normal"/>
    <w:qFormat/>
    <w:pPr>
      <w:keepNext/>
      <w:tabs>
        <w:tab w:val="left" w:pos="284"/>
      </w:tabs>
      <w:jc w:val="both"/>
      <w:outlineLvl w:val="3"/>
    </w:pPr>
    <w:rPr>
      <w:rFonts w:ascii="Arial" w:hAnsi="Arial" w:cs="Arial"/>
      <w:b/>
      <w:bCs/>
      <w:sz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rPr>
      <w:rFonts w:ascii="Modern" w:hAnsi="Modern"/>
      <w:noProof/>
      <w:sz w:val="12"/>
      <w:lang w:val="es-ES" w:eastAsia="es-ES"/>
    </w:rPr>
  </w:style>
  <w:style w:type="character" w:styleId="Nmerodepgina">
    <w:name w:val="page number"/>
    <w:rPr>
      <w:rFonts w:ascii="Modern" w:hAnsi="Modern"/>
      <w:sz w:val="12"/>
    </w:rPr>
  </w:style>
  <w:style w:type="paragraph" w:styleId="Sangradetextonormal">
    <w:name w:val="Body Text Indent"/>
    <w:basedOn w:val="Normal"/>
    <w:pPr>
      <w:ind w:firstLine="1134"/>
    </w:p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2detindependiente">
    <w:name w:val="Body Text Indent 2"/>
    <w:basedOn w:val="Normal"/>
    <w:pPr>
      <w:ind w:firstLine="1418"/>
    </w:pPr>
  </w:style>
  <w:style w:type="paragraph" w:styleId="Textoindependiente">
    <w:name w:val="Body Text"/>
    <w:basedOn w:val="Normal"/>
    <w:pPr>
      <w:widowControl w:val="0"/>
      <w:jc w:val="both"/>
    </w:pPr>
    <w:rPr>
      <w:rFonts w:ascii="Times New Roman" w:hAnsi="Times New Roman"/>
      <w:snapToGrid w:val="0"/>
      <w:sz w:val="24"/>
    </w:rPr>
  </w:style>
  <w:style w:type="paragraph" w:styleId="Textoindependiente2">
    <w:name w:val="Body Text 2"/>
    <w:basedOn w:val="Normal"/>
    <w:pPr>
      <w:spacing w:before="120" w:after="120"/>
      <w:jc w:val="both"/>
    </w:pPr>
    <w:rPr>
      <w:rFonts w:ascii="Arial" w:hAnsi="Arial"/>
      <w:sz w:val="22"/>
    </w:rP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pPr>
      <w:tabs>
        <w:tab w:val="center" w:pos="4419"/>
        <w:tab w:val="right" w:pos="8838"/>
      </w:tabs>
    </w:pPr>
  </w:style>
  <w:style w:type="paragraph" w:styleId="Textoindependiente3">
    <w:name w:val="Body Text 3"/>
    <w:basedOn w:val="Normal"/>
    <w:pPr>
      <w:tabs>
        <w:tab w:val="left" w:pos="-284"/>
      </w:tabs>
      <w:jc w:val="both"/>
    </w:pPr>
    <w:rPr>
      <w:rFonts w:ascii="Arial" w:hAnsi="Arial"/>
      <w:sz w:val="22"/>
      <w:lang w:val="es-AR"/>
    </w:rPr>
  </w:style>
  <w:style w:type="paragraph" w:customStyle="1" w:styleId="Textoindependiente21">
    <w:name w:val="Texto independiente 21"/>
    <w:basedOn w:val="Normal"/>
    <w:pPr>
      <w:jc w:val="both"/>
    </w:pPr>
    <w:rPr>
      <w:rFonts w:ascii="Arial" w:hAnsi="Arial"/>
      <w:sz w:val="22"/>
    </w:rPr>
  </w:style>
  <w:style w:type="paragraph" w:styleId="Sangra3detindependiente">
    <w:name w:val="Body Text Indent 3"/>
    <w:basedOn w:val="Normal"/>
    <w:pPr>
      <w:spacing w:line="480" w:lineRule="auto"/>
      <w:ind w:firstLine="1418"/>
      <w:jc w:val="both"/>
    </w:pPr>
    <w:rPr>
      <w:rFonts w:ascii="Arial" w:hAnsi="Arial" w:cs="Arial"/>
      <w:sz w:val="22"/>
    </w:rPr>
  </w:style>
  <w:style w:type="paragraph" w:customStyle="1" w:styleId="Ttulo">
    <w:name w:val="Título"/>
    <w:basedOn w:val="Normal"/>
    <w:qFormat/>
    <w:pPr>
      <w:spacing w:line="360" w:lineRule="auto"/>
      <w:ind w:firstLine="993"/>
      <w:jc w:val="center"/>
    </w:pPr>
    <w:rPr>
      <w:rFonts w:ascii="Arial" w:hAnsi="Arial" w:cs="Arial"/>
      <w:b/>
      <w:sz w:val="22"/>
    </w:rPr>
  </w:style>
  <w:style w:type="paragraph" w:styleId="Textosinformato">
    <w:name w:val="Plain Text"/>
    <w:basedOn w:val="Normal"/>
    <w:pPr>
      <w:jc w:val="both"/>
    </w:pPr>
    <w:rPr>
      <w:rFonts w:ascii="Courier New" w:hAnsi="Courier New" w:cs="Courier New"/>
      <w:lang w:val="es-AR"/>
    </w:rPr>
  </w:style>
  <w:style w:type="paragraph" w:styleId="Textodeglobo">
    <w:name w:val="Balloon Text"/>
    <w:basedOn w:val="Normal"/>
    <w:semiHidden/>
    <w:rsid w:val="00547871"/>
    <w:rPr>
      <w:rFonts w:ascii="Tahoma" w:hAnsi="Tahoma" w:cs="Tahoma"/>
      <w:sz w:val="16"/>
      <w:szCs w:val="16"/>
    </w:rPr>
  </w:style>
  <w:style w:type="paragraph" w:styleId="NormalWeb">
    <w:name w:val="Normal (Web)"/>
    <w:basedOn w:val="Normal"/>
    <w:uiPriority w:val="99"/>
    <w:rsid w:val="007B3369"/>
    <w:rPr>
      <w:rFonts w:ascii="Times New Roman" w:hAnsi="Times New Roman"/>
      <w:sz w:val="24"/>
      <w:szCs w:val="24"/>
    </w:rPr>
  </w:style>
  <w:style w:type="paragraph" w:styleId="Prrafodelista">
    <w:name w:val="List Paragraph"/>
    <w:basedOn w:val="Normal"/>
    <w:uiPriority w:val="34"/>
    <w:qFormat/>
    <w:rsid w:val="00C65722"/>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fontstyle01">
    <w:name w:val="fontstyle01"/>
    <w:basedOn w:val="Fuentedeprrafopredeter"/>
    <w:rsid w:val="00C65722"/>
    <w:rPr>
      <w:rFonts w:ascii="CIDFont+F1" w:hAnsi="CIDFont+F1" w:hint="default"/>
      <w:b w:val="0"/>
      <w:bCs w:val="0"/>
      <w:i w:val="0"/>
      <w:iCs w:val="0"/>
      <w:color w:val="000000"/>
      <w:sz w:val="20"/>
      <w:szCs w:val="20"/>
    </w:rPr>
  </w:style>
  <w:style w:type="table" w:styleId="Tablaconcuadrcula">
    <w:name w:val="Table Grid"/>
    <w:basedOn w:val="Tablanormal"/>
    <w:rsid w:val="00A0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A068B2"/>
    <w:rPr>
      <w:rFonts w:ascii="Times" w:hAnsi="Time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6D62-72FC-4E95-AA88-911AC40D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BUENOS AIRES,</vt:lpstr>
    </vt:vector>
  </TitlesOfParts>
  <Company>E.N.R.E.</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dc:title>
  <dc:subject/>
  <dc:creator>E.N.R.E.</dc:creator>
  <cp:keywords/>
  <dc:description/>
  <cp:lastModifiedBy>Alejandro Bevilacqua</cp:lastModifiedBy>
  <cp:revision>2</cp:revision>
  <cp:lastPrinted>2016-06-13T18:00:00Z</cp:lastPrinted>
  <dcterms:created xsi:type="dcterms:W3CDTF">2017-12-21T12:35:00Z</dcterms:created>
  <dcterms:modified xsi:type="dcterms:W3CDTF">2017-12-21T12:35:00Z</dcterms:modified>
</cp:coreProperties>
</file>