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F7" w:rsidRDefault="006D2083" w:rsidP="000D093F">
      <w:pPr>
        <w:widowControl w:val="0"/>
        <w:suppressAutoHyphens/>
        <w:spacing w:line="312" w:lineRule="auto"/>
        <w:jc w:val="center"/>
        <w:rPr>
          <w:rFonts w:ascii="Arial" w:hAnsi="Arial"/>
        </w:rPr>
      </w:pPr>
      <w:r>
        <w:rPr>
          <w:rFonts w:ascii="Arial" w:hAnsi="Arial"/>
        </w:rPr>
        <w:t>ANEXO</w:t>
      </w:r>
      <w:r w:rsidR="00282140">
        <w:rPr>
          <w:rFonts w:ascii="Arial" w:hAnsi="Arial"/>
        </w:rPr>
        <w:tab/>
      </w:r>
      <w:r w:rsidR="007D68CC">
        <w:rPr>
          <w:rFonts w:ascii="Arial" w:hAnsi="Arial"/>
        </w:rPr>
        <w:t xml:space="preserve"> a la </w:t>
      </w:r>
      <w:r w:rsidR="00B0366B">
        <w:rPr>
          <w:rFonts w:ascii="Arial" w:hAnsi="Arial"/>
        </w:rPr>
        <w:t xml:space="preserve">Resolución ENRE N° </w:t>
      </w:r>
      <w:bookmarkStart w:id="0" w:name="_GoBack"/>
      <w:bookmarkEnd w:id="0"/>
      <w:r w:rsidR="00B0366B">
        <w:rPr>
          <w:rFonts w:ascii="Arial" w:hAnsi="Arial"/>
        </w:rPr>
        <w:t>504</w:t>
      </w:r>
      <w:r w:rsidR="007D68CC">
        <w:rPr>
          <w:rFonts w:ascii="Arial" w:hAnsi="Arial"/>
        </w:rPr>
        <w:t>/2017</w:t>
      </w:r>
    </w:p>
    <w:p w:rsidR="006D2083" w:rsidRDefault="006D2083" w:rsidP="007D68CC">
      <w:pPr>
        <w:widowControl w:val="0"/>
        <w:suppressAutoHyphens/>
        <w:spacing w:line="312" w:lineRule="auto"/>
        <w:jc w:val="right"/>
        <w:rPr>
          <w:rFonts w:ascii="Arial" w:hAnsi="Arial"/>
        </w:rPr>
      </w:pPr>
    </w:p>
    <w:p w:rsidR="003E6376" w:rsidRDefault="003E6376" w:rsidP="007D68CC">
      <w:pPr>
        <w:pStyle w:val="Textoindependiente"/>
        <w:pBdr>
          <w:top w:val="single" w:sz="6" w:space="1" w:color="auto"/>
          <w:left w:val="single" w:sz="6" w:space="4" w:color="auto"/>
          <w:bottom w:val="single" w:sz="6" w:space="0" w:color="auto"/>
          <w:right w:val="single" w:sz="6" w:space="4" w:color="auto"/>
        </w:pBdr>
        <w:suppressAutoHyphens/>
        <w:spacing w:line="312" w:lineRule="auto"/>
      </w:pPr>
    </w:p>
    <w:p w:rsidR="001D38F7" w:rsidRPr="00816497" w:rsidRDefault="00655B75" w:rsidP="00C95C9A">
      <w:pPr>
        <w:pStyle w:val="Textoindependiente"/>
        <w:pBdr>
          <w:top w:val="single" w:sz="6" w:space="1" w:color="auto"/>
          <w:left w:val="single" w:sz="6" w:space="4" w:color="auto"/>
          <w:bottom w:val="single" w:sz="6" w:space="0" w:color="auto"/>
          <w:right w:val="single" w:sz="6" w:space="4" w:color="auto"/>
        </w:pBdr>
        <w:suppressAutoHyphens/>
        <w:spacing w:line="312" w:lineRule="auto"/>
        <w:jc w:val="center"/>
      </w:pPr>
      <w:r w:rsidRPr="00816497">
        <w:t>CONTROL DE LA CALIDAD DE PERTURBACIONES EN LA TENSIÓ</w:t>
      </w:r>
      <w:r w:rsidR="00816497">
        <w:t>N</w:t>
      </w:r>
    </w:p>
    <w:p w:rsidR="007D68CC" w:rsidRDefault="001D38F7" w:rsidP="007D68CC">
      <w:pPr>
        <w:pStyle w:val="Textoindependiente"/>
        <w:pBdr>
          <w:top w:val="single" w:sz="6" w:space="1" w:color="auto"/>
          <w:left w:val="single" w:sz="6" w:space="4" w:color="auto"/>
          <w:bottom w:val="single" w:sz="6" w:space="0" w:color="auto"/>
          <w:right w:val="single" w:sz="6" w:space="4" w:color="auto"/>
        </w:pBdr>
        <w:suppressAutoHyphens/>
        <w:spacing w:line="312" w:lineRule="auto"/>
        <w:jc w:val="center"/>
        <w:rPr>
          <w:sz w:val="24"/>
          <w:szCs w:val="24"/>
        </w:rPr>
      </w:pPr>
      <w:r w:rsidRPr="00C8049E">
        <w:rPr>
          <w:sz w:val="24"/>
          <w:szCs w:val="24"/>
        </w:rPr>
        <w:t>PROCEDIMIENTO PAR</w:t>
      </w:r>
      <w:r w:rsidR="00655B75" w:rsidRPr="00C8049E">
        <w:rPr>
          <w:sz w:val="24"/>
          <w:szCs w:val="24"/>
        </w:rPr>
        <w:t>A LA DETERMINACIÓN Y ACREDITACIÓ</w:t>
      </w:r>
      <w:r w:rsidRPr="00C8049E">
        <w:rPr>
          <w:sz w:val="24"/>
          <w:szCs w:val="24"/>
        </w:rPr>
        <w:t>N DE LAS</w:t>
      </w:r>
      <w:r w:rsidR="007D68CC">
        <w:rPr>
          <w:sz w:val="24"/>
          <w:szCs w:val="24"/>
        </w:rPr>
        <w:t xml:space="preserve"> </w:t>
      </w:r>
    </w:p>
    <w:p w:rsidR="00816497" w:rsidRPr="00C8049E" w:rsidRDefault="001D38F7" w:rsidP="007D68CC">
      <w:pPr>
        <w:pStyle w:val="Textoindependiente"/>
        <w:pBdr>
          <w:top w:val="single" w:sz="6" w:space="1" w:color="auto"/>
          <w:left w:val="single" w:sz="6" w:space="4" w:color="auto"/>
          <w:bottom w:val="single" w:sz="6" w:space="0" w:color="auto"/>
          <w:right w:val="single" w:sz="6" w:space="4" w:color="auto"/>
        </w:pBdr>
        <w:suppressAutoHyphens/>
        <w:spacing w:line="312" w:lineRule="auto"/>
        <w:jc w:val="center"/>
        <w:rPr>
          <w:sz w:val="24"/>
          <w:szCs w:val="24"/>
        </w:rPr>
      </w:pPr>
      <w:r w:rsidRPr="00C8049E">
        <w:rPr>
          <w:sz w:val="24"/>
          <w:szCs w:val="24"/>
        </w:rPr>
        <w:t xml:space="preserve">BONIFICACIONES CORRESPONDIENTES A LOS USUARIOS AFECTADOS POR </w:t>
      </w:r>
      <w:r w:rsidR="00655B75" w:rsidRPr="00C8049E">
        <w:rPr>
          <w:sz w:val="24"/>
          <w:szCs w:val="24"/>
        </w:rPr>
        <w:t>PERTURBACIONES</w:t>
      </w:r>
      <w:r w:rsidRPr="00C8049E">
        <w:rPr>
          <w:sz w:val="24"/>
          <w:szCs w:val="24"/>
        </w:rPr>
        <w:t xml:space="preserve"> EN LA TENSIÓN.</w:t>
      </w:r>
    </w:p>
    <w:p w:rsidR="001D38F7" w:rsidRDefault="00655B75" w:rsidP="007D68CC">
      <w:pPr>
        <w:pStyle w:val="Textoindependiente"/>
        <w:pBdr>
          <w:top w:val="single" w:sz="6" w:space="1" w:color="auto"/>
          <w:left w:val="single" w:sz="6" w:space="4" w:color="auto"/>
          <w:bottom w:val="single" w:sz="6" w:space="0" w:color="auto"/>
          <w:right w:val="single" w:sz="6" w:space="4" w:color="auto"/>
        </w:pBdr>
        <w:suppressAutoHyphens/>
        <w:spacing w:line="312" w:lineRule="auto"/>
        <w:jc w:val="center"/>
        <w:rPr>
          <w:sz w:val="24"/>
        </w:rPr>
      </w:pPr>
      <w:r w:rsidRPr="00816497">
        <w:rPr>
          <w:sz w:val="24"/>
        </w:rPr>
        <w:t>ELABORACIÓ</w:t>
      </w:r>
      <w:r w:rsidR="001D38F7" w:rsidRPr="00816497">
        <w:rPr>
          <w:sz w:val="24"/>
        </w:rPr>
        <w:t>N DEL INFORME SEMESTRAL</w:t>
      </w:r>
    </w:p>
    <w:p w:rsidR="001D38F7" w:rsidRDefault="001D38F7" w:rsidP="007D68CC">
      <w:pPr>
        <w:widowControl w:val="0"/>
        <w:suppressAutoHyphens/>
        <w:spacing w:line="312" w:lineRule="auto"/>
        <w:rPr>
          <w:rFonts w:ascii="Arial" w:hAnsi="Arial"/>
        </w:rPr>
      </w:pPr>
    </w:p>
    <w:p w:rsidR="00FB26DB" w:rsidRDefault="003E6376" w:rsidP="007D68CC">
      <w:pPr>
        <w:pStyle w:val="Ttulo1"/>
        <w:keepNext w:val="0"/>
        <w:suppressAutoHyphens/>
        <w:spacing w:line="312" w:lineRule="auto"/>
      </w:pPr>
      <w:r>
        <w:t>1 –</w:t>
      </w:r>
      <w:r w:rsidR="00FB26DB">
        <w:t xml:space="preserve"> ANTECEDENTES</w:t>
      </w:r>
    </w:p>
    <w:p w:rsidR="00FB26DB" w:rsidRDefault="00FB26DB" w:rsidP="007D68CC">
      <w:pPr>
        <w:widowControl w:val="0"/>
        <w:suppressAutoHyphens/>
        <w:spacing w:line="312" w:lineRule="auto"/>
        <w:jc w:val="both"/>
        <w:rPr>
          <w:rFonts w:ascii="Arial" w:hAnsi="Arial"/>
        </w:rPr>
      </w:pPr>
    </w:p>
    <w:p w:rsidR="00FB26DB" w:rsidRDefault="00FB26DB" w:rsidP="007D68CC">
      <w:pPr>
        <w:widowControl w:val="0"/>
        <w:suppressAutoHyphens/>
        <w:spacing w:line="312" w:lineRule="auto"/>
        <w:jc w:val="both"/>
        <w:rPr>
          <w:rFonts w:ascii="Arial" w:hAnsi="Arial"/>
        </w:rPr>
      </w:pPr>
      <w:r>
        <w:rPr>
          <w:rFonts w:ascii="Arial" w:hAnsi="Arial"/>
        </w:rPr>
        <w:t>El control de la Calidad del Producto Técnico – Perturbaciones, se lleva a cabo de acuerdo a lo establecido en el Subanexo 4 del Contrato de Concesión de EDENOR S.A. y EDESUR S.A. y la “Base Metodológica para el Control de la Calidad del Producto Técnico en la Etapa 2” (Anexo a la Resolución ENRE N° 184/2000) donde se definen los distintos aspectos del procedimiento correspondientes a la campaña de medición de Perturbaciones, que comprenden, entre otras cuestiones, el envío mensual al Ente Nacional Regulador de la Electricidad (ENRE) de la información obtenida durante su desarrollo.</w:t>
      </w:r>
    </w:p>
    <w:p w:rsidR="00FB26DB" w:rsidRDefault="00FB26DB" w:rsidP="007D68CC">
      <w:pPr>
        <w:widowControl w:val="0"/>
        <w:suppressAutoHyphens/>
        <w:spacing w:line="312" w:lineRule="auto"/>
        <w:jc w:val="both"/>
        <w:rPr>
          <w:rFonts w:ascii="Arial" w:hAnsi="Arial"/>
        </w:rPr>
      </w:pPr>
      <w:r>
        <w:rPr>
          <w:rFonts w:ascii="Arial" w:hAnsi="Arial"/>
        </w:rPr>
        <w:t>Los resultados de la campaña que se realiza de acuerdo a las previsiones contenidas en el citado procedimiento constituyen la base a partir de la cual se efectúa el control de las perturbaciones en la tensión presentes en las redes, la cual otorga los elementos necesarios para determinar los usuarios de alta, media o baja tensión en los que se detecten apartamientos de perturbaciones por Armónicas y Flicker por fuera de los límites establecidos en el Anexo a la Resolución ENRE N° 184/2000.</w:t>
      </w:r>
    </w:p>
    <w:p w:rsidR="00FB26DB" w:rsidRPr="00FB26DB" w:rsidRDefault="00FB26DB" w:rsidP="007D68CC">
      <w:pPr>
        <w:widowControl w:val="0"/>
        <w:suppressAutoHyphens/>
        <w:spacing w:line="312" w:lineRule="auto"/>
        <w:jc w:val="both"/>
        <w:rPr>
          <w:rFonts w:ascii="Arial" w:hAnsi="Arial"/>
        </w:rPr>
      </w:pPr>
    </w:p>
    <w:p w:rsidR="003E6376" w:rsidRDefault="00FB26DB" w:rsidP="007D68CC">
      <w:pPr>
        <w:pStyle w:val="Ttulo1"/>
        <w:keepNext w:val="0"/>
        <w:suppressAutoHyphens/>
        <w:spacing w:line="312" w:lineRule="auto"/>
      </w:pPr>
      <w:r>
        <w:t xml:space="preserve">2 – </w:t>
      </w:r>
      <w:r w:rsidR="003E6376">
        <w:t>OBJETIVO DEL PROCEDIMIENTO:</w:t>
      </w:r>
    </w:p>
    <w:p w:rsidR="00334A74" w:rsidRDefault="00334A74" w:rsidP="007D68CC">
      <w:pPr>
        <w:widowControl w:val="0"/>
        <w:suppressAutoHyphens/>
        <w:spacing w:line="312" w:lineRule="auto"/>
        <w:jc w:val="both"/>
        <w:rPr>
          <w:rFonts w:ascii="Arial" w:hAnsi="Arial"/>
        </w:rPr>
      </w:pPr>
    </w:p>
    <w:p w:rsidR="00282140" w:rsidRPr="00DF5FEF" w:rsidRDefault="00334A74" w:rsidP="007D68CC">
      <w:pPr>
        <w:widowControl w:val="0"/>
        <w:suppressAutoHyphens/>
        <w:spacing w:line="312" w:lineRule="auto"/>
        <w:jc w:val="both"/>
        <w:rPr>
          <w:rFonts w:ascii="Arial" w:hAnsi="Arial"/>
        </w:rPr>
      </w:pPr>
      <w:r>
        <w:rPr>
          <w:rFonts w:ascii="Arial" w:hAnsi="Arial"/>
        </w:rPr>
        <w:t xml:space="preserve">El presente </w:t>
      </w:r>
      <w:r w:rsidR="00DF5FEF">
        <w:rPr>
          <w:rFonts w:ascii="Arial" w:hAnsi="Arial"/>
        </w:rPr>
        <w:t>Procedimiento</w:t>
      </w:r>
      <w:r>
        <w:rPr>
          <w:rFonts w:ascii="Arial" w:hAnsi="Arial"/>
        </w:rPr>
        <w:t xml:space="preserve"> tiene por objetivo</w:t>
      </w:r>
      <w:r w:rsidR="00AD530C">
        <w:rPr>
          <w:rFonts w:ascii="Arial" w:hAnsi="Arial"/>
        </w:rPr>
        <w:t xml:space="preserve"> fijar las pautas que deberán cumplir las distribuidoras </w:t>
      </w:r>
      <w:r w:rsidR="00AD530C" w:rsidRPr="00723947">
        <w:rPr>
          <w:rFonts w:ascii="Arial" w:hAnsi="Arial"/>
        </w:rPr>
        <w:t>"EDENOR S.A." y "EDESUR S.A." (</w:t>
      </w:r>
      <w:proofErr w:type="gramStart"/>
      <w:r w:rsidR="00AD530C" w:rsidRPr="00723947">
        <w:rPr>
          <w:rFonts w:ascii="Arial" w:hAnsi="Arial"/>
        </w:rPr>
        <w:t>en</w:t>
      </w:r>
      <w:proofErr w:type="gramEnd"/>
      <w:r w:rsidR="00AD530C" w:rsidRPr="00723947">
        <w:rPr>
          <w:rFonts w:ascii="Arial" w:hAnsi="Arial"/>
        </w:rPr>
        <w:t xml:space="preserve"> adelante la distribuidora) para </w:t>
      </w:r>
      <w:r w:rsidR="00AD530C">
        <w:rPr>
          <w:rFonts w:ascii="Arial" w:hAnsi="Arial"/>
        </w:rPr>
        <w:t xml:space="preserve">determinar la totalidad de los usuarios </w:t>
      </w:r>
      <w:r w:rsidR="00AD530C" w:rsidRPr="00DF5FEF">
        <w:rPr>
          <w:rFonts w:ascii="Arial" w:hAnsi="Arial"/>
        </w:rPr>
        <w:t>que se encuentran afectados por las deficiencias de calidad del Producto Técnico - Perturbaciones detectadas en el desarrollo de la campaña de medición de Perturbaciones (en adelante la campaña) así como también se establece el método para calcular las bonificaciones correspondientes por esos apartamientos y la forma en que éstas se acreditarán a dichos usuarios. Finalmente, también se precisa la forma en que las concesionarias deberán brindar la información requerida por el ENRE.</w:t>
      </w:r>
    </w:p>
    <w:p w:rsidR="00841834" w:rsidRDefault="003E6376" w:rsidP="007D68CC">
      <w:pPr>
        <w:widowControl w:val="0"/>
        <w:suppressAutoHyphens/>
        <w:spacing w:line="312" w:lineRule="auto"/>
        <w:jc w:val="both"/>
        <w:rPr>
          <w:rFonts w:ascii="Arial" w:hAnsi="Arial"/>
        </w:rPr>
      </w:pPr>
      <w:r w:rsidRPr="00DF5FEF">
        <w:rPr>
          <w:rFonts w:ascii="Arial" w:hAnsi="Arial"/>
        </w:rPr>
        <w:t xml:space="preserve">La información suministrada por las concesionarias de acuerdo a </w:t>
      </w:r>
      <w:r w:rsidR="005A5E66" w:rsidRPr="00DF5FEF">
        <w:rPr>
          <w:rFonts w:ascii="Arial" w:hAnsi="Arial"/>
        </w:rPr>
        <w:t xml:space="preserve">lo </w:t>
      </w:r>
      <w:r w:rsidR="00FB26DB" w:rsidRPr="00DF5FEF">
        <w:rPr>
          <w:rFonts w:ascii="Arial" w:hAnsi="Arial"/>
        </w:rPr>
        <w:t>detallado en el presente, así como</w:t>
      </w:r>
      <w:r w:rsidRPr="00DF5FEF">
        <w:rPr>
          <w:rFonts w:ascii="Arial" w:hAnsi="Arial"/>
        </w:rPr>
        <w:t xml:space="preserve"> la efectiva acreditación de la</w:t>
      </w:r>
      <w:r w:rsidR="005A5E66" w:rsidRPr="00DF5FEF">
        <w:rPr>
          <w:rFonts w:ascii="Arial" w:hAnsi="Arial"/>
        </w:rPr>
        <w:t>s bonificaciones a los usuarios</w:t>
      </w:r>
      <w:r w:rsidRPr="00DF5FEF">
        <w:rPr>
          <w:rFonts w:ascii="Arial" w:hAnsi="Arial"/>
        </w:rPr>
        <w:t xml:space="preserve"> será oport</w:t>
      </w:r>
      <w:r w:rsidR="005A5E66" w:rsidRPr="00DF5FEF">
        <w:rPr>
          <w:rFonts w:ascii="Arial" w:hAnsi="Arial"/>
        </w:rPr>
        <w:t xml:space="preserve">unamente </w:t>
      </w:r>
      <w:r w:rsidR="005A5E66">
        <w:rPr>
          <w:rFonts w:ascii="Arial" w:hAnsi="Arial"/>
        </w:rPr>
        <w:t>auditada por el Ente</w:t>
      </w:r>
      <w:r>
        <w:rPr>
          <w:rFonts w:ascii="Arial" w:hAnsi="Arial"/>
        </w:rPr>
        <w:t xml:space="preserve"> a fin de verificar la correcta aplicación del procedimiento.</w:t>
      </w:r>
    </w:p>
    <w:p w:rsidR="002B54CC" w:rsidRDefault="00DF5FEF" w:rsidP="007D68CC">
      <w:pPr>
        <w:widowControl w:val="0"/>
        <w:suppressAutoHyphens/>
        <w:spacing w:line="312" w:lineRule="auto"/>
        <w:jc w:val="both"/>
        <w:rPr>
          <w:rFonts w:ascii="Arial" w:hAnsi="Arial"/>
        </w:rPr>
      </w:pPr>
      <w:r>
        <w:rPr>
          <w:rFonts w:ascii="Arial" w:hAnsi="Arial"/>
        </w:rPr>
        <w:t xml:space="preserve">Este Procedimiento será de aplicación para los semestres de control ocurridos a partir de la fecha </w:t>
      </w:r>
      <w:r>
        <w:rPr>
          <w:rFonts w:ascii="Arial" w:hAnsi="Arial"/>
        </w:rPr>
        <w:lastRenderedPageBreak/>
        <w:t xml:space="preserve">de entrada en vigencia del nuevo marco regulatorio aprobado </w:t>
      </w:r>
      <w:r w:rsidR="00B55F21">
        <w:rPr>
          <w:rFonts w:ascii="Arial" w:hAnsi="Arial"/>
        </w:rPr>
        <w:t>mediante</w:t>
      </w:r>
      <w:r>
        <w:rPr>
          <w:rFonts w:ascii="Arial" w:hAnsi="Arial"/>
        </w:rPr>
        <w:t xml:space="preserve"> resoluciones ENRE N° 63/2017 y N° 64/2017 </w:t>
      </w:r>
      <w:r w:rsidR="00B55F21">
        <w:rPr>
          <w:rFonts w:ascii="Arial" w:hAnsi="Arial"/>
        </w:rPr>
        <w:t>(Semestre 42° de la Etapa 2 de control y posteriores).</w:t>
      </w:r>
    </w:p>
    <w:p w:rsidR="00E11A4F" w:rsidRDefault="00E11A4F" w:rsidP="007D68CC">
      <w:pPr>
        <w:widowControl w:val="0"/>
        <w:suppressAutoHyphens/>
        <w:spacing w:line="312" w:lineRule="auto"/>
        <w:jc w:val="both"/>
        <w:rPr>
          <w:rFonts w:ascii="Arial" w:hAnsi="Arial"/>
          <w:b/>
        </w:rPr>
      </w:pPr>
    </w:p>
    <w:p w:rsidR="003E6376" w:rsidRDefault="003E6376" w:rsidP="007D68CC">
      <w:pPr>
        <w:widowControl w:val="0"/>
        <w:suppressAutoHyphens/>
        <w:spacing w:line="312" w:lineRule="auto"/>
        <w:jc w:val="both"/>
        <w:rPr>
          <w:rFonts w:ascii="Arial" w:hAnsi="Arial"/>
          <w:b/>
        </w:rPr>
      </w:pPr>
      <w:r>
        <w:rPr>
          <w:rFonts w:ascii="Arial" w:hAnsi="Arial"/>
          <w:b/>
        </w:rPr>
        <w:t>2. DETERMINACIÓN DE LAS PENALIZACIONES PARA LOS USUARIOS EN EL “SEMESTRE CONTROLADO”:</w:t>
      </w:r>
    </w:p>
    <w:p w:rsidR="002B54CC" w:rsidRDefault="002B54CC" w:rsidP="007D68CC">
      <w:pPr>
        <w:widowControl w:val="0"/>
        <w:suppressAutoHyphens/>
        <w:spacing w:line="312" w:lineRule="auto"/>
        <w:jc w:val="both"/>
        <w:rPr>
          <w:rFonts w:ascii="Arial" w:hAnsi="Arial"/>
          <w:b/>
        </w:rPr>
      </w:pPr>
    </w:p>
    <w:p w:rsidR="003E6376" w:rsidRDefault="003E6376" w:rsidP="007D68CC">
      <w:pPr>
        <w:widowControl w:val="0"/>
        <w:suppressAutoHyphens/>
        <w:spacing w:line="312" w:lineRule="auto"/>
        <w:jc w:val="both"/>
        <w:rPr>
          <w:rFonts w:ascii="Arial" w:hAnsi="Arial"/>
          <w:b/>
        </w:rPr>
      </w:pPr>
      <w:r>
        <w:rPr>
          <w:rFonts w:ascii="Arial" w:hAnsi="Arial"/>
          <w:b/>
        </w:rPr>
        <w:t xml:space="preserve">2.1. Lineamientos generales: </w:t>
      </w:r>
    </w:p>
    <w:p w:rsidR="003E6376" w:rsidRDefault="00F81FE4" w:rsidP="007D68CC">
      <w:pPr>
        <w:widowControl w:val="0"/>
        <w:suppressAutoHyphens/>
        <w:spacing w:line="312" w:lineRule="auto"/>
        <w:jc w:val="both"/>
        <w:rPr>
          <w:rFonts w:ascii="Arial" w:hAnsi="Arial"/>
        </w:rPr>
      </w:pPr>
      <w:r>
        <w:rPr>
          <w:rFonts w:ascii="Arial" w:hAnsi="Arial"/>
        </w:rPr>
        <w:t>A los fines del presente Anexo</w:t>
      </w:r>
      <w:r w:rsidR="003E6376">
        <w:rPr>
          <w:rFonts w:ascii="Arial" w:hAnsi="Arial"/>
        </w:rPr>
        <w:t xml:space="preserve">, se denomina “semestre controlado” al </w:t>
      </w:r>
      <w:r>
        <w:rPr>
          <w:rFonts w:ascii="Arial" w:hAnsi="Arial"/>
        </w:rPr>
        <w:t>período</w:t>
      </w:r>
      <w:r w:rsidR="003E6376">
        <w:rPr>
          <w:rFonts w:ascii="Arial" w:hAnsi="Arial"/>
        </w:rPr>
        <w:t xml:space="preserve"> semestral en el que se aplica efectivamente el procedimiento establecido, es decir</w:t>
      </w:r>
      <w:r>
        <w:rPr>
          <w:rFonts w:ascii="Arial" w:hAnsi="Arial"/>
        </w:rPr>
        <w:t>,</w:t>
      </w:r>
      <w:r w:rsidR="003E6376">
        <w:rPr>
          <w:rFonts w:ascii="Arial" w:hAnsi="Arial"/>
        </w:rPr>
        <w:t xml:space="preserve"> aquél en que se realizaron las mediciones y en el que se aplica el procedimiento para la determinación de las respectivas bonificaciones a los usuarios afectados por las deficiencias derivadas de la existencia de perturbaciones en la tensión (Armónicas/Flicker).</w:t>
      </w:r>
    </w:p>
    <w:p w:rsidR="003E6376" w:rsidRDefault="003E6376" w:rsidP="007D68CC">
      <w:pPr>
        <w:widowControl w:val="0"/>
        <w:suppressAutoHyphens/>
        <w:spacing w:line="312" w:lineRule="auto"/>
        <w:jc w:val="both"/>
        <w:rPr>
          <w:rFonts w:ascii="Arial" w:hAnsi="Arial"/>
        </w:rPr>
      </w:pPr>
      <w:r>
        <w:rPr>
          <w:rFonts w:ascii="Arial" w:hAnsi="Arial"/>
        </w:rPr>
        <w:t>Asimismo, se denomina “usuario afectado” a aquel usuario que recibe una deficiente calidad de producto técnico (perturbaciones) por la existencia del apartamiento a los niveles establecidos de perturbaciones en la tensión surgidos de una medición</w:t>
      </w:r>
      <w:r w:rsidR="00DE18EF">
        <w:rPr>
          <w:rFonts w:ascii="Arial" w:hAnsi="Arial"/>
        </w:rPr>
        <w:t xml:space="preserve"> realizada en el centro de transformación MT/BT al cual se encuentra vinculado</w:t>
      </w:r>
      <w:r>
        <w:rPr>
          <w:rFonts w:ascii="Arial" w:hAnsi="Arial"/>
        </w:rPr>
        <w:t>.</w:t>
      </w:r>
    </w:p>
    <w:p w:rsidR="003E6376" w:rsidRDefault="003E6376" w:rsidP="007D68CC">
      <w:pPr>
        <w:widowControl w:val="0"/>
        <w:suppressAutoHyphens/>
        <w:spacing w:line="312" w:lineRule="auto"/>
        <w:jc w:val="both"/>
        <w:rPr>
          <w:rFonts w:ascii="Arial" w:hAnsi="Arial"/>
        </w:rPr>
      </w:pPr>
      <w:r>
        <w:rPr>
          <w:rFonts w:ascii="Arial" w:hAnsi="Arial"/>
        </w:rPr>
        <w:t xml:space="preserve">Conforme se ha indicado precedentemente, </w:t>
      </w:r>
      <w:r w:rsidR="00ED03D7">
        <w:rPr>
          <w:rFonts w:ascii="Arial" w:hAnsi="Arial"/>
        </w:rPr>
        <w:t>el método</w:t>
      </w:r>
      <w:r>
        <w:rPr>
          <w:rFonts w:ascii="Arial" w:hAnsi="Arial"/>
        </w:rPr>
        <w:t xml:space="preserve"> para el desarrollo de la campaña y para el cálculo de las penalizaciones que corresponden aplicar -en caso de verificarse la existencia de apartamientos a los límites fijados en el marco regulatorio vigente-, surge de las previsiones contenidas en la Resolución ENRE N° 184/2000 y en el Subanexo 4 del Contrato de Concesión.</w:t>
      </w:r>
    </w:p>
    <w:p w:rsidR="003E6376" w:rsidRDefault="003E6376" w:rsidP="007D68CC">
      <w:pPr>
        <w:widowControl w:val="0"/>
        <w:suppressAutoHyphens/>
        <w:spacing w:line="312" w:lineRule="auto"/>
        <w:jc w:val="both"/>
        <w:rPr>
          <w:rFonts w:ascii="Arial" w:hAnsi="Arial"/>
        </w:rPr>
      </w:pPr>
      <w:r>
        <w:rPr>
          <w:rFonts w:ascii="Arial" w:hAnsi="Arial"/>
        </w:rPr>
        <w:t xml:space="preserve">Los resultados de las mediciones que se realicen en el marco de dicha campaña deberán seguir siendo </w:t>
      </w:r>
      <w:r w:rsidR="00ED03D7">
        <w:rPr>
          <w:rFonts w:ascii="Arial" w:hAnsi="Arial"/>
        </w:rPr>
        <w:t>informados mensualmente al ENRE</w:t>
      </w:r>
      <w:r>
        <w:rPr>
          <w:rFonts w:ascii="Arial" w:hAnsi="Arial"/>
        </w:rPr>
        <w:t xml:space="preserve"> mediante las tablas incluidas en el Anexo a la Resolución ENRE N° 184/2000.</w:t>
      </w:r>
    </w:p>
    <w:p w:rsidR="003E6376" w:rsidRDefault="003E6376" w:rsidP="007D68CC">
      <w:pPr>
        <w:widowControl w:val="0"/>
        <w:suppressAutoHyphens/>
        <w:spacing w:line="312" w:lineRule="auto"/>
        <w:jc w:val="both"/>
        <w:rPr>
          <w:rFonts w:ascii="Arial" w:hAnsi="Arial"/>
        </w:rPr>
      </w:pPr>
    </w:p>
    <w:p w:rsidR="003E6376" w:rsidRDefault="003E6376" w:rsidP="007D68CC">
      <w:pPr>
        <w:widowControl w:val="0"/>
        <w:suppressAutoHyphens/>
        <w:spacing w:line="312" w:lineRule="auto"/>
        <w:jc w:val="both"/>
        <w:rPr>
          <w:rFonts w:ascii="Arial" w:hAnsi="Arial"/>
          <w:b/>
        </w:rPr>
      </w:pPr>
      <w:r>
        <w:rPr>
          <w:rFonts w:ascii="Arial" w:hAnsi="Arial"/>
          <w:b/>
        </w:rPr>
        <w:t>2.2. Mediciones en suministros de usuarios:</w:t>
      </w:r>
    </w:p>
    <w:p w:rsidR="003E6376" w:rsidRDefault="003E6376" w:rsidP="007D68CC">
      <w:pPr>
        <w:widowControl w:val="0"/>
        <w:suppressAutoHyphens/>
        <w:spacing w:line="312" w:lineRule="auto"/>
        <w:jc w:val="both"/>
        <w:rPr>
          <w:rFonts w:ascii="Arial" w:hAnsi="Arial"/>
          <w:b/>
        </w:rPr>
      </w:pPr>
    </w:p>
    <w:p w:rsidR="003E6376" w:rsidRDefault="003E6376" w:rsidP="007D68CC">
      <w:pPr>
        <w:widowControl w:val="0"/>
        <w:suppressAutoHyphens/>
        <w:spacing w:line="312" w:lineRule="auto"/>
        <w:jc w:val="both"/>
        <w:rPr>
          <w:rFonts w:ascii="Arial" w:hAnsi="Arial"/>
        </w:rPr>
      </w:pPr>
      <w:r>
        <w:rPr>
          <w:rFonts w:ascii="Arial" w:hAnsi="Arial"/>
        </w:rPr>
        <w:t xml:space="preserve">Para el caso de las mediciones de perturbaciones en suministros a usuarios se establece a continuación el procedimiento que </w:t>
      </w:r>
      <w:r w:rsidR="00ED03D7">
        <w:rPr>
          <w:rFonts w:ascii="Arial" w:hAnsi="Arial"/>
        </w:rPr>
        <w:t xml:space="preserve">en lo sucesivo </w:t>
      </w:r>
      <w:r>
        <w:rPr>
          <w:rFonts w:ascii="Arial" w:hAnsi="Arial"/>
        </w:rPr>
        <w:t xml:space="preserve">deberán utilizar </w:t>
      </w:r>
      <w:r w:rsidR="00ED03D7">
        <w:rPr>
          <w:rFonts w:ascii="Arial" w:hAnsi="Arial"/>
        </w:rPr>
        <w:t xml:space="preserve">indefectiblemente </w:t>
      </w:r>
      <w:r>
        <w:rPr>
          <w:rFonts w:ascii="Arial" w:hAnsi="Arial"/>
        </w:rPr>
        <w:t xml:space="preserve">las </w:t>
      </w:r>
      <w:r w:rsidR="00ED03D7">
        <w:rPr>
          <w:rFonts w:ascii="Arial" w:hAnsi="Arial"/>
        </w:rPr>
        <w:t>concesionarias para estos casos</w:t>
      </w:r>
      <w:r>
        <w:rPr>
          <w:rFonts w:ascii="Arial" w:hAnsi="Arial"/>
        </w:rPr>
        <w:t xml:space="preserve">. </w:t>
      </w:r>
    </w:p>
    <w:p w:rsidR="003E6376" w:rsidRDefault="003E6376" w:rsidP="007D68CC">
      <w:pPr>
        <w:widowControl w:val="0"/>
        <w:suppressAutoHyphens/>
        <w:spacing w:line="312" w:lineRule="auto"/>
        <w:jc w:val="both"/>
        <w:rPr>
          <w:rFonts w:ascii="Arial" w:hAnsi="Arial"/>
        </w:rPr>
      </w:pPr>
      <w:r>
        <w:rPr>
          <w:rFonts w:ascii="Arial" w:hAnsi="Arial"/>
        </w:rPr>
        <w:t>De acuerdo a la normativa vigente, en mediciones de perturbaciones en suministros de usuarios particulares se registran cada 10 minutos las tensiones, las potencias, las variables de perturbaciones de Flicker y/o Armónicas y la energía, entre otros, siendo el valor de esa energía la que deberá utilizarse, salvo en el supuesto que se indica a continuación.</w:t>
      </w:r>
    </w:p>
    <w:p w:rsidR="006F7D6C" w:rsidRDefault="006F7D6C" w:rsidP="007D68CC">
      <w:pPr>
        <w:widowControl w:val="0"/>
        <w:suppressAutoHyphens/>
        <w:spacing w:line="312" w:lineRule="auto"/>
        <w:jc w:val="both"/>
        <w:rPr>
          <w:rFonts w:ascii="Arial" w:hAnsi="Arial"/>
        </w:rPr>
      </w:pPr>
      <w:r>
        <w:rPr>
          <w:rFonts w:ascii="Arial" w:hAnsi="Arial"/>
        </w:rPr>
        <w:t>De encontrarse que la</w:t>
      </w:r>
      <w:r w:rsidR="00D17EA8">
        <w:rPr>
          <w:rFonts w:ascii="Arial" w:hAnsi="Arial"/>
        </w:rPr>
        <w:t xml:space="preserve"> diferencia entre </w:t>
      </w:r>
      <w:r w:rsidR="005D2635">
        <w:rPr>
          <w:rFonts w:ascii="Arial" w:hAnsi="Arial"/>
        </w:rPr>
        <w:t xml:space="preserve">la </w:t>
      </w:r>
      <w:r>
        <w:rPr>
          <w:rFonts w:ascii="Arial" w:hAnsi="Arial"/>
        </w:rPr>
        <w:t xml:space="preserve">energía total registrada por el equipo de control de perturbaciones </w:t>
      </w:r>
      <w:r w:rsidR="00D17EA8">
        <w:rPr>
          <w:rFonts w:ascii="Arial" w:hAnsi="Arial"/>
        </w:rPr>
        <w:t>con la registrada por el medidor del usuario durante el período de medición resulta</w:t>
      </w:r>
      <w:r>
        <w:rPr>
          <w:rFonts w:ascii="Arial" w:hAnsi="Arial"/>
        </w:rPr>
        <w:t xml:space="preserve"> mayor al 10 % </w:t>
      </w:r>
      <w:r w:rsidR="00D17EA8">
        <w:rPr>
          <w:rFonts w:ascii="Arial" w:hAnsi="Arial"/>
        </w:rPr>
        <w:t xml:space="preserve">(tomando como base el </w:t>
      </w:r>
      <w:r w:rsidR="0066732A">
        <w:rPr>
          <w:rFonts w:ascii="Arial" w:hAnsi="Arial"/>
        </w:rPr>
        <w:t>segundo</w:t>
      </w:r>
      <w:r w:rsidR="00D17EA8">
        <w:rPr>
          <w:rFonts w:ascii="Arial" w:hAnsi="Arial"/>
        </w:rPr>
        <w:t xml:space="preserve"> de ellos)</w:t>
      </w:r>
      <w:r>
        <w:rPr>
          <w:rFonts w:ascii="Arial" w:hAnsi="Arial"/>
        </w:rPr>
        <w:t xml:space="preserve">, deberá adoptarse </w:t>
      </w:r>
      <w:r w:rsidR="00D17EA8">
        <w:rPr>
          <w:rFonts w:ascii="Arial" w:hAnsi="Arial"/>
        </w:rPr>
        <w:t>el</w:t>
      </w:r>
      <w:r>
        <w:rPr>
          <w:rFonts w:ascii="Arial" w:hAnsi="Arial"/>
        </w:rPr>
        <w:t xml:space="preserve"> </w:t>
      </w:r>
      <w:r w:rsidR="003F5908">
        <w:rPr>
          <w:rFonts w:ascii="Arial" w:hAnsi="Arial"/>
        </w:rPr>
        <w:t>que de ellos</w:t>
      </w:r>
      <w:r>
        <w:rPr>
          <w:rFonts w:ascii="Arial" w:hAnsi="Arial"/>
        </w:rPr>
        <w:t xml:space="preserve"> más</w:t>
      </w:r>
      <w:r w:rsidR="003F5908">
        <w:rPr>
          <w:rFonts w:ascii="Arial" w:hAnsi="Arial"/>
        </w:rPr>
        <w:t xml:space="preserve"> se</w:t>
      </w:r>
      <w:r>
        <w:rPr>
          <w:rFonts w:ascii="Arial" w:hAnsi="Arial"/>
        </w:rPr>
        <w:t xml:space="preserve"> </w:t>
      </w:r>
      <w:r w:rsidR="003F5908">
        <w:rPr>
          <w:rFonts w:ascii="Arial" w:hAnsi="Arial"/>
        </w:rPr>
        <w:t>aproxime</w:t>
      </w:r>
      <w:r>
        <w:rPr>
          <w:rFonts w:ascii="Arial" w:hAnsi="Arial"/>
        </w:rPr>
        <w:t xml:space="preserve"> </w:t>
      </w:r>
      <w:r w:rsidR="003F5908">
        <w:rPr>
          <w:rFonts w:ascii="Arial" w:hAnsi="Arial"/>
        </w:rPr>
        <w:t>al</w:t>
      </w:r>
      <w:r>
        <w:rPr>
          <w:rFonts w:ascii="Arial" w:hAnsi="Arial"/>
        </w:rPr>
        <w:t xml:space="preserve"> valo</w:t>
      </w:r>
      <w:r w:rsidR="00D17EA8">
        <w:rPr>
          <w:rFonts w:ascii="Arial" w:hAnsi="Arial"/>
        </w:rPr>
        <w:t>r de consumo medio del usuario.</w:t>
      </w:r>
    </w:p>
    <w:p w:rsidR="006F7D6C" w:rsidRDefault="003F5908" w:rsidP="007D68CC">
      <w:pPr>
        <w:widowControl w:val="0"/>
        <w:suppressAutoHyphens/>
        <w:spacing w:line="312" w:lineRule="auto"/>
        <w:jc w:val="both"/>
        <w:rPr>
          <w:rFonts w:ascii="Arial" w:hAnsi="Arial"/>
        </w:rPr>
      </w:pPr>
      <w:r>
        <w:rPr>
          <w:rFonts w:ascii="Arial" w:hAnsi="Arial"/>
        </w:rPr>
        <w:t xml:space="preserve">El valor de consumo medio del usuario se obtiene </w:t>
      </w:r>
      <w:r w:rsidR="00D17EA8">
        <w:rPr>
          <w:rFonts w:ascii="Arial" w:hAnsi="Arial"/>
        </w:rPr>
        <w:t>d</w:t>
      </w:r>
      <w:r w:rsidR="00DF5FEF">
        <w:rPr>
          <w:rFonts w:ascii="Arial" w:hAnsi="Arial"/>
        </w:rPr>
        <w:t>e</w:t>
      </w:r>
      <w:r w:rsidR="00D17EA8">
        <w:rPr>
          <w:rFonts w:ascii="Arial" w:hAnsi="Arial"/>
        </w:rPr>
        <w:t xml:space="preserve"> la energía anual del usuario </w:t>
      </w:r>
      <w:r w:rsidR="005D2635">
        <w:rPr>
          <w:rFonts w:ascii="Arial" w:hAnsi="Arial"/>
        </w:rPr>
        <w:t>dividido</w:t>
      </w:r>
      <w:r w:rsidR="00D17EA8">
        <w:rPr>
          <w:rFonts w:ascii="Arial" w:hAnsi="Arial"/>
        </w:rPr>
        <w:t xml:space="preserve"> 52.560 (cantidad de períodos de 10 minutos por año </w:t>
      </w:r>
      <w:r w:rsidR="005A7186">
        <w:rPr>
          <w:rFonts w:ascii="Arial" w:hAnsi="Arial"/>
        </w:rPr>
        <w:t>-</w:t>
      </w:r>
      <w:r w:rsidR="00D17EA8">
        <w:rPr>
          <w:rFonts w:ascii="Arial" w:hAnsi="Arial"/>
        </w:rPr>
        <w:t>365*24*6</w:t>
      </w:r>
      <w:proofErr w:type="gramStart"/>
      <w:r w:rsidR="005A7186">
        <w:rPr>
          <w:rFonts w:ascii="Arial" w:hAnsi="Arial"/>
        </w:rPr>
        <w:t>-</w:t>
      </w:r>
      <w:r w:rsidR="00D17EA8">
        <w:rPr>
          <w:rFonts w:ascii="Arial" w:hAnsi="Arial"/>
        </w:rPr>
        <w:t>)</w:t>
      </w:r>
      <w:proofErr w:type="gramEnd"/>
      <w:r w:rsidR="00D17EA8">
        <w:rPr>
          <w:rFonts w:ascii="Arial" w:hAnsi="Arial"/>
        </w:rPr>
        <w:t xml:space="preserve"> y multiplicando por la cantidad de períodos de 10 minutos válidos en la medición. L</w:t>
      </w:r>
      <w:r>
        <w:rPr>
          <w:rFonts w:ascii="Arial" w:hAnsi="Arial"/>
        </w:rPr>
        <w:t>a energía anual</w:t>
      </w:r>
      <w:r w:rsidR="00D17EA8">
        <w:rPr>
          <w:rFonts w:ascii="Arial" w:hAnsi="Arial"/>
        </w:rPr>
        <w:t xml:space="preserve"> del usuario es la</w:t>
      </w:r>
      <w:r>
        <w:rPr>
          <w:rFonts w:ascii="Arial" w:hAnsi="Arial"/>
        </w:rPr>
        <w:t xml:space="preserve"> informada en la Tabla N° 10 </w:t>
      </w:r>
      <w:r w:rsidR="0066732A">
        <w:rPr>
          <w:rFonts w:ascii="Arial" w:hAnsi="Arial"/>
        </w:rPr>
        <w:t>del correspondiente semestre,</w:t>
      </w:r>
      <w:r>
        <w:rPr>
          <w:rFonts w:ascii="Arial" w:hAnsi="Arial"/>
        </w:rPr>
        <w:t xml:space="preserve"> presentada por la Distribuidora según se establece en la Resolución ENRE N° 0</w:t>
      </w:r>
      <w:r w:rsidR="006B209D">
        <w:rPr>
          <w:rFonts w:ascii="Arial" w:hAnsi="Arial"/>
        </w:rPr>
        <w:t>0</w:t>
      </w:r>
      <w:r>
        <w:rPr>
          <w:rFonts w:ascii="Arial" w:hAnsi="Arial"/>
        </w:rPr>
        <w:t>2/1998</w:t>
      </w:r>
      <w:r w:rsidR="007756C3">
        <w:rPr>
          <w:rFonts w:ascii="Arial" w:hAnsi="Arial"/>
        </w:rPr>
        <w:t xml:space="preserve">. </w:t>
      </w:r>
    </w:p>
    <w:p w:rsidR="003E6376" w:rsidRDefault="003E6376" w:rsidP="007D68CC">
      <w:pPr>
        <w:widowControl w:val="0"/>
        <w:suppressAutoHyphens/>
        <w:spacing w:line="312" w:lineRule="auto"/>
        <w:jc w:val="both"/>
        <w:rPr>
          <w:rFonts w:ascii="Arial" w:hAnsi="Arial"/>
        </w:rPr>
      </w:pPr>
      <w:r w:rsidRPr="006B5C84">
        <w:rPr>
          <w:rFonts w:ascii="Arial" w:hAnsi="Arial"/>
        </w:rPr>
        <w:lastRenderedPageBreak/>
        <w:t xml:space="preserve">Si de lo </w:t>
      </w:r>
      <w:r w:rsidR="0066732A">
        <w:rPr>
          <w:rFonts w:ascii="Arial" w:hAnsi="Arial"/>
        </w:rPr>
        <w:t>anterior</w:t>
      </w:r>
      <w:r w:rsidRPr="006B5C84">
        <w:rPr>
          <w:rFonts w:ascii="Arial" w:hAnsi="Arial"/>
        </w:rPr>
        <w:t xml:space="preserve"> resultara que se debe emplear la energía registrada por el medidor</w:t>
      </w:r>
      <w:r w:rsidR="0066732A">
        <w:rPr>
          <w:rFonts w:ascii="Arial" w:hAnsi="Arial"/>
        </w:rPr>
        <w:t xml:space="preserve"> del usuario</w:t>
      </w:r>
      <w:r w:rsidRPr="006B5C84">
        <w:rPr>
          <w:rFonts w:ascii="Arial" w:hAnsi="Arial"/>
        </w:rPr>
        <w:t xml:space="preserve">, entonces, para </w:t>
      </w:r>
      <w:r w:rsidR="00B52991">
        <w:rPr>
          <w:rFonts w:ascii="Arial" w:hAnsi="Arial"/>
        </w:rPr>
        <w:t>la determinación del</w:t>
      </w:r>
      <w:r w:rsidRPr="006B5C84">
        <w:rPr>
          <w:rFonts w:ascii="Arial" w:hAnsi="Arial"/>
        </w:rPr>
        <w:t xml:space="preserve"> monto de la penalidad se deberá distribuir </w:t>
      </w:r>
      <w:r w:rsidR="00B52991">
        <w:rPr>
          <w:rFonts w:ascii="Arial" w:hAnsi="Arial"/>
        </w:rPr>
        <w:t xml:space="preserve">dicha </w:t>
      </w:r>
      <w:r w:rsidRPr="006B5C84">
        <w:rPr>
          <w:rFonts w:ascii="Arial" w:hAnsi="Arial"/>
        </w:rPr>
        <w:t xml:space="preserve">energía </w:t>
      </w:r>
      <w:r w:rsidR="00B52991">
        <w:rPr>
          <w:rFonts w:ascii="Arial" w:hAnsi="Arial"/>
        </w:rPr>
        <w:t>a lo largo</w:t>
      </w:r>
      <w:r w:rsidRPr="006B5C84">
        <w:rPr>
          <w:rFonts w:ascii="Arial" w:hAnsi="Arial"/>
        </w:rPr>
        <w:t xml:space="preserve"> </w:t>
      </w:r>
      <w:r w:rsidR="00B52991">
        <w:rPr>
          <w:rFonts w:ascii="Arial" w:hAnsi="Arial"/>
        </w:rPr>
        <w:t>d</w:t>
      </w:r>
      <w:r w:rsidRPr="006B5C84">
        <w:rPr>
          <w:rFonts w:ascii="Arial" w:hAnsi="Arial"/>
        </w:rPr>
        <w:t xml:space="preserve">el período de la medición </w:t>
      </w:r>
      <w:r w:rsidR="00B52991">
        <w:rPr>
          <w:rFonts w:ascii="Arial" w:hAnsi="Arial"/>
        </w:rPr>
        <w:t xml:space="preserve">confeccionando </w:t>
      </w:r>
      <w:r w:rsidRPr="006B5C84">
        <w:rPr>
          <w:rFonts w:ascii="Arial" w:hAnsi="Arial"/>
        </w:rPr>
        <w:t>la curva de carga</w:t>
      </w:r>
      <w:r w:rsidR="00B52991">
        <w:rPr>
          <w:rFonts w:ascii="Arial" w:hAnsi="Arial"/>
        </w:rPr>
        <w:t xml:space="preserve"> a partir de los parámetros</w:t>
      </w:r>
      <w:r w:rsidRPr="006B5C84">
        <w:rPr>
          <w:rFonts w:ascii="Arial" w:hAnsi="Arial"/>
        </w:rPr>
        <w:t xml:space="preserve"> establec</w:t>
      </w:r>
      <w:r w:rsidR="00DC160F">
        <w:rPr>
          <w:rFonts w:ascii="Arial" w:hAnsi="Arial"/>
        </w:rPr>
        <w:t xml:space="preserve">ida en la Resolución ENRE N° </w:t>
      </w:r>
      <w:r w:rsidR="006B5C84" w:rsidRPr="006B5C84">
        <w:rPr>
          <w:rFonts w:ascii="Arial" w:hAnsi="Arial"/>
        </w:rPr>
        <w:t>63</w:t>
      </w:r>
      <w:r w:rsidR="00DC160F">
        <w:rPr>
          <w:rFonts w:ascii="Arial" w:hAnsi="Arial"/>
        </w:rPr>
        <w:t xml:space="preserve">/2017 para el caso de </w:t>
      </w:r>
      <w:r w:rsidR="00C1212E">
        <w:rPr>
          <w:rFonts w:ascii="Arial" w:hAnsi="Arial"/>
        </w:rPr>
        <w:t>EDENOR</w:t>
      </w:r>
      <w:r w:rsidR="00B52991">
        <w:rPr>
          <w:rFonts w:ascii="Arial" w:hAnsi="Arial"/>
        </w:rPr>
        <w:t xml:space="preserve"> S.A.</w:t>
      </w:r>
      <w:r w:rsidR="00C1212E">
        <w:rPr>
          <w:rFonts w:ascii="Arial" w:hAnsi="Arial"/>
        </w:rPr>
        <w:t xml:space="preserve"> </w:t>
      </w:r>
      <w:r w:rsidR="00DC160F">
        <w:rPr>
          <w:rFonts w:ascii="Arial" w:hAnsi="Arial"/>
        </w:rPr>
        <w:t>y</w:t>
      </w:r>
      <w:r w:rsidR="006B5C84" w:rsidRPr="006B5C84">
        <w:rPr>
          <w:rFonts w:ascii="Arial" w:hAnsi="Arial"/>
        </w:rPr>
        <w:t xml:space="preserve"> </w:t>
      </w:r>
      <w:r w:rsidR="00DC160F">
        <w:rPr>
          <w:rFonts w:ascii="Arial" w:hAnsi="Arial"/>
        </w:rPr>
        <w:t xml:space="preserve">N° </w:t>
      </w:r>
      <w:r w:rsidR="006B5C84" w:rsidRPr="006B5C84">
        <w:rPr>
          <w:rFonts w:ascii="Arial" w:hAnsi="Arial"/>
        </w:rPr>
        <w:t>64/2017</w:t>
      </w:r>
      <w:r w:rsidR="00DC160F">
        <w:rPr>
          <w:rFonts w:ascii="Arial" w:hAnsi="Arial"/>
        </w:rPr>
        <w:t xml:space="preserve"> para el caso de </w:t>
      </w:r>
      <w:r w:rsidR="00C1212E">
        <w:rPr>
          <w:rFonts w:ascii="Arial" w:hAnsi="Arial"/>
        </w:rPr>
        <w:t>EDESUR</w:t>
      </w:r>
      <w:r w:rsidR="00B52991">
        <w:rPr>
          <w:rFonts w:ascii="Arial" w:hAnsi="Arial"/>
        </w:rPr>
        <w:t xml:space="preserve"> S.A.</w:t>
      </w:r>
      <w:r w:rsidRPr="006B5C84">
        <w:rPr>
          <w:rFonts w:ascii="Arial" w:hAnsi="Arial"/>
        </w:rPr>
        <w:t>, contemplando la tarifa en la cual está encuadrado el usuario.</w:t>
      </w:r>
    </w:p>
    <w:p w:rsidR="00C8049E" w:rsidRDefault="00C8049E" w:rsidP="007D68CC">
      <w:pPr>
        <w:widowControl w:val="0"/>
        <w:suppressAutoHyphens/>
        <w:spacing w:line="312" w:lineRule="auto"/>
        <w:jc w:val="both"/>
        <w:rPr>
          <w:rFonts w:ascii="Arial" w:hAnsi="Arial"/>
        </w:rPr>
      </w:pPr>
    </w:p>
    <w:p w:rsidR="001F5140" w:rsidRPr="00EB56C8" w:rsidRDefault="00AB2A25" w:rsidP="007D68CC">
      <w:pPr>
        <w:widowControl w:val="0"/>
        <w:suppressAutoHyphens/>
        <w:spacing w:line="312" w:lineRule="auto"/>
        <w:jc w:val="both"/>
        <w:rPr>
          <w:rFonts w:ascii="Arial" w:hAnsi="Arial"/>
          <w:b/>
        </w:rPr>
      </w:pPr>
      <w:r w:rsidRPr="00EB56C8">
        <w:rPr>
          <w:rFonts w:ascii="Arial" w:hAnsi="Arial"/>
          <w:b/>
        </w:rPr>
        <w:t>3 – CÁLCULO DE LA</w:t>
      </w:r>
      <w:r w:rsidR="001F5140" w:rsidRPr="00EB56C8">
        <w:rPr>
          <w:rFonts w:ascii="Arial" w:hAnsi="Arial"/>
          <w:b/>
        </w:rPr>
        <w:t xml:space="preserve"> DISTORSI</w:t>
      </w:r>
      <w:r w:rsidR="00CF7CEA" w:rsidRPr="00EB56C8">
        <w:rPr>
          <w:rFonts w:ascii="Arial" w:hAnsi="Arial"/>
          <w:b/>
        </w:rPr>
        <w:t>ÓN PENALIZABLE DE PERTURBACIONES</w:t>
      </w:r>
      <w:r w:rsidR="001F5140" w:rsidRPr="00EB56C8">
        <w:rPr>
          <w:rFonts w:ascii="Arial" w:hAnsi="Arial"/>
          <w:b/>
        </w:rPr>
        <w:t xml:space="preserve"> – PENALIZACIÓN:</w:t>
      </w:r>
    </w:p>
    <w:p w:rsidR="00CF7CEA" w:rsidRDefault="00CF7CEA" w:rsidP="007D68CC">
      <w:pPr>
        <w:widowControl w:val="0"/>
        <w:suppressAutoHyphens/>
        <w:spacing w:line="312" w:lineRule="auto"/>
        <w:jc w:val="both"/>
        <w:rPr>
          <w:rFonts w:ascii="Arial" w:hAnsi="Arial"/>
          <w:b/>
          <w:color w:val="FF0000"/>
        </w:rPr>
      </w:pPr>
    </w:p>
    <w:p w:rsidR="00CF7CEA" w:rsidRDefault="00C62BFE" w:rsidP="007D68CC">
      <w:pPr>
        <w:widowControl w:val="0"/>
        <w:suppressAutoHyphens/>
        <w:spacing w:line="312" w:lineRule="auto"/>
        <w:jc w:val="both"/>
        <w:rPr>
          <w:rFonts w:ascii="Arial" w:hAnsi="Arial"/>
          <w:b/>
        </w:rPr>
      </w:pPr>
      <w:r>
        <w:rPr>
          <w:rFonts w:ascii="Arial" w:hAnsi="Arial"/>
          <w:b/>
        </w:rPr>
        <w:t>3.1. Perturbaciones en la tensión por F</w:t>
      </w:r>
      <w:r w:rsidR="00CF7CEA">
        <w:rPr>
          <w:rFonts w:ascii="Arial" w:hAnsi="Arial"/>
          <w:b/>
        </w:rPr>
        <w:t xml:space="preserve">licker: </w:t>
      </w:r>
    </w:p>
    <w:p w:rsidR="00EB56C8" w:rsidRDefault="00EB56C8" w:rsidP="007D68CC">
      <w:pPr>
        <w:widowControl w:val="0"/>
        <w:suppressAutoHyphens/>
        <w:spacing w:line="312" w:lineRule="auto"/>
        <w:jc w:val="both"/>
        <w:rPr>
          <w:rFonts w:ascii="Arial" w:hAnsi="Arial"/>
          <w:b/>
        </w:rPr>
      </w:pPr>
    </w:p>
    <w:p w:rsidR="001F5140" w:rsidRPr="001F5140" w:rsidRDefault="001F5140" w:rsidP="007D68CC">
      <w:pPr>
        <w:widowControl w:val="0"/>
        <w:suppressAutoHyphens/>
        <w:spacing w:line="312" w:lineRule="auto"/>
        <w:jc w:val="both"/>
        <w:rPr>
          <w:rFonts w:ascii="Arial" w:hAnsi="Arial"/>
        </w:rPr>
      </w:pPr>
      <w:r w:rsidRPr="001F5140">
        <w:rPr>
          <w:rFonts w:ascii="Arial" w:hAnsi="Arial"/>
        </w:rPr>
        <w:t>Se define como Distorsión Penalizable de Flicker (DPF) al valor de distorsión por fluctuaciones rápidas de tensión encontrado en cada intervalo de medida, por encima de los Niveles de Referencia de los índices de severidad y normalizado por est</w:t>
      </w:r>
      <w:r w:rsidR="00EB56C8">
        <w:rPr>
          <w:rFonts w:ascii="Arial" w:hAnsi="Arial"/>
        </w:rPr>
        <w:t>os mismos valores de referencia,</w:t>
      </w:r>
      <w:r w:rsidR="00EB56C8" w:rsidRPr="00EB56C8">
        <w:rPr>
          <w:rFonts w:ascii="Arial" w:hAnsi="Arial"/>
        </w:rPr>
        <w:t xml:space="preserve"> </w:t>
      </w:r>
      <w:r w:rsidR="00EB56C8" w:rsidRPr="001F5140">
        <w:rPr>
          <w:rFonts w:ascii="Arial" w:hAnsi="Arial"/>
        </w:rPr>
        <w:t xml:space="preserve">según </w:t>
      </w:r>
      <w:r w:rsidR="009A4D7A">
        <w:rPr>
          <w:rFonts w:ascii="Arial" w:hAnsi="Arial"/>
        </w:rPr>
        <w:t xml:space="preserve">lo indicado en </w:t>
      </w:r>
      <w:r w:rsidR="00EB56C8" w:rsidRPr="001F5140">
        <w:rPr>
          <w:rFonts w:ascii="Arial" w:hAnsi="Arial"/>
        </w:rPr>
        <w:t>la Tabla 1</w:t>
      </w:r>
      <w:r w:rsidR="00EB56C8">
        <w:rPr>
          <w:rFonts w:ascii="Arial" w:hAnsi="Arial"/>
        </w:rPr>
        <w:t xml:space="preserve"> de</w:t>
      </w:r>
      <w:r w:rsidR="00C8049E">
        <w:rPr>
          <w:rFonts w:ascii="Arial" w:hAnsi="Arial"/>
        </w:rPr>
        <w:t xml:space="preserve">l Anexo </w:t>
      </w:r>
      <w:r w:rsidR="006B209D">
        <w:rPr>
          <w:rFonts w:ascii="Arial" w:hAnsi="Arial"/>
        </w:rPr>
        <w:t>a</w:t>
      </w:r>
      <w:r w:rsidR="00EB56C8">
        <w:rPr>
          <w:rFonts w:ascii="Arial" w:hAnsi="Arial"/>
        </w:rPr>
        <w:t xml:space="preserve"> la Resolución ENRE N° 184/2000</w:t>
      </w:r>
      <w:r w:rsidR="009A4D7A">
        <w:rPr>
          <w:rFonts w:ascii="Arial" w:hAnsi="Arial"/>
        </w:rPr>
        <w:t>, punto 3.2.1</w:t>
      </w:r>
      <w:r w:rsidR="009C5AB1">
        <w:rPr>
          <w:rFonts w:ascii="Arial" w:hAnsi="Arial"/>
        </w:rPr>
        <w:t>-</w:t>
      </w:r>
      <w:r w:rsidR="00EB56C8" w:rsidRPr="001F5140">
        <w:rPr>
          <w:rFonts w:ascii="Arial" w:hAnsi="Arial"/>
        </w:rPr>
        <w:t>.</w:t>
      </w:r>
    </w:p>
    <w:p w:rsidR="001F5140" w:rsidRPr="001F5140" w:rsidRDefault="001F5140" w:rsidP="007D68CC">
      <w:pPr>
        <w:widowControl w:val="0"/>
        <w:suppressAutoHyphens/>
        <w:jc w:val="both"/>
        <w:rPr>
          <w:rFonts w:ascii="Arial" w:hAnsi="Arial"/>
        </w:rPr>
      </w:pPr>
    </w:p>
    <w:p w:rsidR="001F5140" w:rsidRDefault="001F5140" w:rsidP="007D68CC">
      <w:pPr>
        <w:widowControl w:val="0"/>
        <w:suppressAutoHyphens/>
        <w:jc w:val="both"/>
        <w:rPr>
          <w:rFonts w:ascii="Arial" w:hAnsi="Arial"/>
        </w:rPr>
      </w:pPr>
      <w:r w:rsidRPr="001F5140">
        <w:rPr>
          <w:rFonts w:ascii="Arial" w:hAnsi="Arial"/>
        </w:rPr>
        <w:t>Para cua</w:t>
      </w:r>
      <w:r w:rsidR="00C62BFE">
        <w:rPr>
          <w:rFonts w:ascii="Arial" w:hAnsi="Arial"/>
        </w:rPr>
        <w:t>lquier punto de suministro, la Distorsión P</w:t>
      </w:r>
      <w:r w:rsidRPr="001F5140">
        <w:rPr>
          <w:rFonts w:ascii="Arial" w:hAnsi="Arial"/>
        </w:rPr>
        <w:t xml:space="preserve">enalizable </w:t>
      </w:r>
      <w:r w:rsidR="00BE7D4E">
        <w:rPr>
          <w:rFonts w:ascii="Arial" w:hAnsi="Arial"/>
        </w:rPr>
        <w:t>de F</w:t>
      </w:r>
      <w:r w:rsidR="00967366">
        <w:rPr>
          <w:rFonts w:ascii="Arial" w:hAnsi="Arial"/>
        </w:rPr>
        <w:t xml:space="preserve">licker </w:t>
      </w:r>
      <w:r w:rsidRPr="001F5140">
        <w:rPr>
          <w:rFonts w:ascii="Arial" w:hAnsi="Arial"/>
        </w:rPr>
        <w:t>se define como:</w:t>
      </w:r>
    </w:p>
    <w:p w:rsidR="00EB56C8" w:rsidRPr="001F5140" w:rsidRDefault="00EB56C8" w:rsidP="007D68CC">
      <w:pPr>
        <w:widowControl w:val="0"/>
        <w:suppressAutoHyphens/>
        <w:jc w:val="both"/>
        <w:rPr>
          <w:rFonts w:ascii="Arial" w:hAnsi="Arial"/>
        </w:rPr>
      </w:pPr>
    </w:p>
    <w:p w:rsidR="001F5140" w:rsidRPr="001F5140" w:rsidRDefault="001F5140" w:rsidP="007D68CC">
      <w:pPr>
        <w:widowControl w:val="0"/>
        <w:suppressAutoHyphens/>
        <w:rPr>
          <w:rFonts w:ascii="Arial" w:hAnsi="Arial"/>
        </w:rPr>
      </w:pPr>
    </w:p>
    <w:p w:rsidR="001F5140" w:rsidRPr="00BD484D" w:rsidRDefault="00B0366B" w:rsidP="007D68CC">
      <w:pPr>
        <w:widowControl w:val="0"/>
        <w:suppressAutoHyphens/>
        <w:rPr>
          <w:rFonts w:ascii="Arial" w:hAnsi="Arial" w:cs="Arial"/>
          <w:b/>
          <w:lang w:val="en-US"/>
        </w:rPr>
      </w:pPr>
      <m:oMathPara>
        <m:oMath>
          <m:sSub>
            <m:sSubPr>
              <m:ctrlPr>
                <w:rPr>
                  <w:rFonts w:ascii="Cambria Math" w:hAnsi="Cambria Math" w:cs="Arial"/>
                  <w:b/>
                  <w:i/>
                </w:rPr>
              </m:ctrlPr>
            </m:sSubPr>
            <m:e>
              <m:r>
                <m:rPr>
                  <m:nor/>
                </m:rPr>
                <w:rPr>
                  <w:rFonts w:ascii="Arial" w:hAnsi="Arial" w:cs="Arial"/>
                  <w:b/>
                  <w:lang w:val="en-US"/>
                </w:rPr>
                <m:t>DPF</m:t>
              </m:r>
            </m:e>
            <m:sub>
              <m:r>
                <m:rPr>
                  <m:nor/>
                </m:rPr>
                <w:rPr>
                  <w:rFonts w:ascii="Arial" w:hAnsi="Arial" w:cs="Arial"/>
                  <w:b/>
                  <w:lang w:val="en-US"/>
                </w:rPr>
                <m:t>k</m:t>
              </m:r>
            </m:sub>
          </m:sSub>
          <m:r>
            <m:rPr>
              <m:nor/>
            </m:rPr>
            <w:rPr>
              <w:rFonts w:ascii="Arial" w:hAnsi="Arial" w:cs="Arial"/>
              <w:b/>
              <w:lang w:val="en-US"/>
            </w:rPr>
            <m:t xml:space="preserve">= </m:t>
          </m:r>
          <w:proofErr w:type="spellStart"/>
          <m:r>
            <m:rPr>
              <m:nor/>
            </m:rPr>
            <w:rPr>
              <w:rFonts w:ascii="Arial" w:hAnsi="Arial" w:cs="Arial"/>
              <w:b/>
              <w:lang w:val="en-US"/>
            </w:rPr>
            <m:t>Máx</m:t>
          </m:r>
          <w:proofErr w:type="spellEnd"/>
          <m:r>
            <m:rPr>
              <m:nor/>
            </m:rPr>
            <w:rPr>
              <w:rFonts w:ascii="Arial" w:hAnsi="Arial" w:cs="Arial"/>
              <w:b/>
              <w:lang w:val="en-US"/>
            </w:rPr>
            <m:t xml:space="preserve"> </m:t>
          </m:r>
          <m:d>
            <m:dPr>
              <m:ctrlPr>
                <w:rPr>
                  <w:rFonts w:ascii="Cambria Math" w:hAnsi="Cambria Math" w:cs="Arial"/>
                  <w:b/>
                  <w:i/>
                </w:rPr>
              </m:ctrlPr>
            </m:dPr>
            <m:e>
              <m:r>
                <m:rPr>
                  <m:nor/>
                </m:rPr>
                <w:rPr>
                  <w:rFonts w:ascii="Arial" w:hAnsi="Arial" w:cs="Arial"/>
                  <w:b/>
                  <w:lang w:val="en-US"/>
                </w:rPr>
                <m:t xml:space="preserve">0 , </m:t>
              </m:r>
              <m:f>
                <m:fPr>
                  <m:ctrlPr>
                    <w:rPr>
                      <w:rFonts w:ascii="Cambria Math" w:hAnsi="Cambria Math" w:cs="Arial"/>
                      <w:b/>
                      <w:i/>
                    </w:rPr>
                  </m:ctrlPr>
                </m:fPr>
                <m:num>
                  <m:sSub>
                    <m:sSubPr>
                      <m:ctrlPr>
                        <w:rPr>
                          <w:rFonts w:ascii="Cambria Math" w:hAnsi="Cambria Math" w:cs="Arial"/>
                          <w:b/>
                          <w:i/>
                        </w:rPr>
                      </m:ctrlPr>
                    </m:sSubPr>
                    <m:e>
                      <m:r>
                        <m:rPr>
                          <m:nor/>
                        </m:rPr>
                        <w:rPr>
                          <w:rFonts w:ascii="Arial" w:hAnsi="Arial" w:cs="Arial"/>
                          <w:b/>
                          <w:lang w:val="en-US"/>
                        </w:rPr>
                        <m:t>P</m:t>
                      </m:r>
                    </m:e>
                    <m:sub>
                      <m:r>
                        <m:rPr>
                          <m:nor/>
                        </m:rPr>
                        <w:rPr>
                          <w:rFonts w:ascii="Arial" w:hAnsi="Arial" w:cs="Arial"/>
                          <w:b/>
                          <w:lang w:val="en-US"/>
                        </w:rPr>
                        <m:t>st</m:t>
                      </m:r>
                    </m:sub>
                  </m:sSub>
                  <m:d>
                    <m:dPr>
                      <m:ctrlPr>
                        <w:rPr>
                          <w:rFonts w:ascii="Cambria Math" w:hAnsi="Cambria Math" w:cs="Arial"/>
                          <w:b/>
                          <w:i/>
                        </w:rPr>
                      </m:ctrlPr>
                    </m:dPr>
                    <m:e>
                      <m:r>
                        <m:rPr>
                          <m:nor/>
                        </m:rPr>
                        <w:rPr>
                          <w:rFonts w:ascii="Arial" w:hAnsi="Arial" w:cs="Arial"/>
                          <w:b/>
                          <w:lang w:val="en-US"/>
                        </w:rPr>
                        <m:t>k</m:t>
                      </m:r>
                    </m:e>
                  </m:d>
                  <m:r>
                    <m:rPr>
                      <m:sty m:val="bi"/>
                    </m:rPr>
                    <w:rPr>
                      <w:rFonts w:ascii="Cambria Math" w:hAnsi="Cambria Math" w:cs="Arial"/>
                      <w:lang w:val="en-US"/>
                    </w:rPr>
                    <m:t xml:space="preserve"> </m:t>
                  </m:r>
                  <m:r>
                    <m:rPr>
                      <m:nor/>
                    </m:rPr>
                    <w:rPr>
                      <w:rFonts w:ascii="Arial" w:hAnsi="Arial" w:cs="Arial"/>
                      <w:b/>
                      <w:lang w:val="en-US"/>
                    </w:rPr>
                    <m:t>-</m:t>
                  </m:r>
                  <m:sSub>
                    <m:sSubPr>
                      <m:ctrlPr>
                        <w:rPr>
                          <w:rFonts w:ascii="Cambria Math" w:hAnsi="Cambria Math" w:cs="Arial"/>
                          <w:b/>
                          <w:i/>
                        </w:rPr>
                      </m:ctrlPr>
                    </m:sSubPr>
                    <m:e>
                      <m:r>
                        <m:rPr>
                          <m:nor/>
                        </m:rPr>
                        <w:rPr>
                          <w:rFonts w:ascii="Cambria Math" w:hAnsi="Arial" w:cs="Arial"/>
                          <w:b/>
                          <w:lang w:val="en-US"/>
                        </w:rPr>
                        <m:t xml:space="preserve"> </m:t>
                      </m:r>
                      <m:r>
                        <m:rPr>
                          <m:nor/>
                        </m:rPr>
                        <w:rPr>
                          <w:rFonts w:ascii="Arial" w:hAnsi="Arial" w:cs="Arial"/>
                          <w:b/>
                          <w:lang w:val="en-US"/>
                        </w:rPr>
                        <m:t>P</m:t>
                      </m:r>
                    </m:e>
                    <m:sub>
                      <m:r>
                        <m:rPr>
                          <m:nor/>
                        </m:rPr>
                        <w:rPr>
                          <w:rFonts w:ascii="Arial" w:hAnsi="Arial" w:cs="Arial"/>
                          <w:b/>
                          <w:lang w:val="en-US"/>
                        </w:rPr>
                        <m:t>st</m:t>
                      </m:r>
                    </m:sub>
                  </m:sSub>
                </m:num>
                <m:den>
                  <m:sSub>
                    <m:sSubPr>
                      <m:ctrlPr>
                        <w:rPr>
                          <w:rFonts w:ascii="Cambria Math" w:hAnsi="Cambria Math" w:cs="Arial"/>
                          <w:b/>
                          <w:i/>
                        </w:rPr>
                      </m:ctrlPr>
                    </m:sSubPr>
                    <m:e>
                      <m:r>
                        <m:rPr>
                          <m:nor/>
                        </m:rPr>
                        <w:rPr>
                          <w:rFonts w:ascii="Arial" w:hAnsi="Arial" w:cs="Arial"/>
                          <w:b/>
                          <w:lang w:val="en-US"/>
                        </w:rPr>
                        <m:t>P</m:t>
                      </m:r>
                    </m:e>
                    <m:sub>
                      <m:r>
                        <m:rPr>
                          <m:nor/>
                        </m:rPr>
                        <w:rPr>
                          <w:rFonts w:ascii="Arial" w:hAnsi="Arial" w:cs="Arial"/>
                          <w:b/>
                          <w:lang w:val="en-US"/>
                        </w:rPr>
                        <m:t>st</m:t>
                      </m:r>
                    </m:sub>
                  </m:sSub>
                </m:den>
              </m:f>
            </m:e>
          </m:d>
        </m:oMath>
      </m:oMathPara>
    </w:p>
    <w:p w:rsidR="00E903F2" w:rsidRPr="00BD484D" w:rsidRDefault="00E903F2" w:rsidP="007D68CC">
      <w:pPr>
        <w:widowControl w:val="0"/>
        <w:suppressAutoHyphens/>
        <w:rPr>
          <w:rFonts w:ascii="Arial" w:hAnsi="Arial"/>
          <w:lang w:val="en-US"/>
        </w:rPr>
      </w:pPr>
    </w:p>
    <w:p w:rsidR="001F5140" w:rsidRPr="001F5140" w:rsidRDefault="001F5140" w:rsidP="007D68CC">
      <w:pPr>
        <w:widowControl w:val="0"/>
        <w:suppressAutoHyphens/>
        <w:jc w:val="both"/>
        <w:rPr>
          <w:rFonts w:ascii="Arial" w:hAnsi="Arial"/>
        </w:rPr>
      </w:pPr>
      <w:r w:rsidRPr="001F5140">
        <w:rPr>
          <w:rFonts w:ascii="Arial" w:hAnsi="Arial"/>
        </w:rPr>
        <w:t>Donde:</w:t>
      </w:r>
    </w:p>
    <w:p w:rsidR="001F5140" w:rsidRPr="001F5140" w:rsidRDefault="001F5140" w:rsidP="007D68CC">
      <w:pPr>
        <w:widowControl w:val="0"/>
        <w:suppressAutoHyphens/>
        <w:jc w:val="both"/>
        <w:rPr>
          <w:rFonts w:ascii="Arial" w:hAnsi="Arial"/>
        </w:rPr>
      </w:pPr>
    </w:p>
    <w:p w:rsidR="001F5140" w:rsidRPr="001F5140" w:rsidRDefault="001F5140" w:rsidP="007D68CC">
      <w:pPr>
        <w:widowControl w:val="0"/>
        <w:suppressAutoHyphens/>
        <w:jc w:val="both"/>
        <w:rPr>
          <w:rFonts w:ascii="Arial" w:hAnsi="Arial"/>
        </w:rPr>
      </w:pPr>
      <w:proofErr w:type="spellStart"/>
      <w:proofErr w:type="gramStart"/>
      <w:r w:rsidRPr="001F5140">
        <w:rPr>
          <w:rFonts w:ascii="Arial" w:hAnsi="Arial"/>
        </w:rPr>
        <w:t>Pst</w:t>
      </w:r>
      <w:proofErr w:type="spellEnd"/>
      <w:r w:rsidRPr="001F5140">
        <w:rPr>
          <w:rFonts w:ascii="Arial" w:hAnsi="Arial"/>
        </w:rPr>
        <w:t>(</w:t>
      </w:r>
      <w:proofErr w:type="gramEnd"/>
      <w:r w:rsidRPr="001F5140">
        <w:rPr>
          <w:rFonts w:ascii="Arial" w:hAnsi="Arial"/>
        </w:rPr>
        <w:t>k) es el índice de severidad de Flicker de corta duración registrado en el intervalo k de medida (10 minutos).</w:t>
      </w:r>
    </w:p>
    <w:p w:rsidR="001F5140" w:rsidRPr="001F5140" w:rsidRDefault="001F5140" w:rsidP="007D68CC">
      <w:pPr>
        <w:widowControl w:val="0"/>
        <w:suppressAutoHyphens/>
        <w:jc w:val="both"/>
        <w:rPr>
          <w:rFonts w:ascii="Arial" w:hAnsi="Arial"/>
        </w:rPr>
      </w:pPr>
    </w:p>
    <w:p w:rsidR="001F5140" w:rsidRPr="001F5140" w:rsidRDefault="001F5140" w:rsidP="007D68CC">
      <w:pPr>
        <w:widowControl w:val="0"/>
        <w:suppressAutoHyphens/>
        <w:jc w:val="both"/>
        <w:rPr>
          <w:rFonts w:ascii="Arial" w:hAnsi="Arial"/>
        </w:rPr>
      </w:pPr>
      <w:proofErr w:type="spellStart"/>
      <w:r w:rsidRPr="001F5140">
        <w:rPr>
          <w:rFonts w:ascii="Arial" w:hAnsi="Arial"/>
        </w:rPr>
        <w:t>Pst</w:t>
      </w:r>
      <w:proofErr w:type="spellEnd"/>
      <w:r w:rsidRPr="001F5140">
        <w:rPr>
          <w:rFonts w:ascii="Arial" w:hAnsi="Arial"/>
        </w:rPr>
        <w:t xml:space="preserve"> es el Nivel de Referencia correspondiente según </w:t>
      </w:r>
      <w:r w:rsidR="00BE7D4E">
        <w:rPr>
          <w:rFonts w:ascii="Arial" w:hAnsi="Arial"/>
        </w:rPr>
        <w:t>lo indicado en la</w:t>
      </w:r>
      <w:r w:rsidRPr="001F5140">
        <w:rPr>
          <w:rFonts w:ascii="Arial" w:hAnsi="Arial"/>
        </w:rPr>
        <w:t xml:space="preserve"> Tabla </w:t>
      </w:r>
      <w:r w:rsidR="00BE7D4E">
        <w:rPr>
          <w:rFonts w:ascii="Arial" w:hAnsi="Arial"/>
        </w:rPr>
        <w:t xml:space="preserve">N° </w:t>
      </w:r>
      <w:r w:rsidRPr="001F5140">
        <w:rPr>
          <w:rFonts w:ascii="Arial" w:hAnsi="Arial"/>
        </w:rPr>
        <w:t>1</w:t>
      </w:r>
      <w:r>
        <w:rPr>
          <w:rFonts w:ascii="Arial" w:hAnsi="Arial"/>
        </w:rPr>
        <w:t xml:space="preserve"> de</w:t>
      </w:r>
      <w:r w:rsidR="00C8049E">
        <w:rPr>
          <w:rFonts w:ascii="Arial" w:hAnsi="Arial"/>
        </w:rPr>
        <w:t xml:space="preserve">l Anexo </w:t>
      </w:r>
      <w:r w:rsidR="006B209D">
        <w:rPr>
          <w:rFonts w:ascii="Arial" w:hAnsi="Arial"/>
        </w:rPr>
        <w:t>a</w:t>
      </w:r>
      <w:r>
        <w:rPr>
          <w:rFonts w:ascii="Arial" w:hAnsi="Arial"/>
        </w:rPr>
        <w:t xml:space="preserve"> la Resolución ENRE N° 184/2000</w:t>
      </w:r>
      <w:r w:rsidR="002148CF">
        <w:rPr>
          <w:rFonts w:ascii="Arial" w:hAnsi="Arial"/>
        </w:rPr>
        <w:t>, punto 3.2.1</w:t>
      </w:r>
      <w:r w:rsidR="009C5AB1">
        <w:rPr>
          <w:rFonts w:ascii="Arial" w:hAnsi="Arial"/>
        </w:rPr>
        <w:t>-.</w:t>
      </w:r>
    </w:p>
    <w:p w:rsidR="001F5140" w:rsidRPr="001F5140" w:rsidRDefault="001F5140" w:rsidP="007D68CC">
      <w:pPr>
        <w:widowControl w:val="0"/>
        <w:suppressAutoHyphens/>
        <w:jc w:val="both"/>
        <w:rPr>
          <w:rFonts w:ascii="Arial" w:hAnsi="Arial"/>
        </w:rPr>
      </w:pPr>
    </w:p>
    <w:p w:rsidR="001F5140" w:rsidRPr="001F5140" w:rsidRDefault="001F5140" w:rsidP="007D68CC">
      <w:pPr>
        <w:widowControl w:val="0"/>
        <w:suppressAutoHyphens/>
        <w:jc w:val="both"/>
        <w:rPr>
          <w:rFonts w:ascii="Arial" w:hAnsi="Arial"/>
        </w:rPr>
      </w:pPr>
      <w:proofErr w:type="spellStart"/>
      <w:r w:rsidRPr="001F5140">
        <w:rPr>
          <w:rFonts w:ascii="Arial" w:hAnsi="Arial"/>
        </w:rPr>
        <w:t>DPF</w:t>
      </w:r>
      <w:r w:rsidRPr="006661A5">
        <w:rPr>
          <w:rFonts w:ascii="Arial" w:hAnsi="Arial"/>
          <w:vertAlign w:val="subscript"/>
        </w:rPr>
        <w:t>k</w:t>
      </w:r>
      <w:proofErr w:type="spellEnd"/>
      <w:r w:rsidRPr="001F5140">
        <w:rPr>
          <w:rFonts w:ascii="Arial" w:hAnsi="Arial"/>
        </w:rPr>
        <w:t xml:space="preserve"> se calcula para cada intervalo k de cada semana del período de medición, registrándose el </w:t>
      </w:r>
      <w:proofErr w:type="spellStart"/>
      <w:proofErr w:type="gramStart"/>
      <w:r w:rsidRPr="001F5140">
        <w:rPr>
          <w:rFonts w:ascii="Arial" w:hAnsi="Arial"/>
        </w:rPr>
        <w:t>Pst</w:t>
      </w:r>
      <w:proofErr w:type="spellEnd"/>
      <w:r w:rsidRPr="001F5140">
        <w:rPr>
          <w:rFonts w:ascii="Arial" w:hAnsi="Arial"/>
        </w:rPr>
        <w:t>(</w:t>
      </w:r>
      <w:proofErr w:type="gramEnd"/>
      <w:r w:rsidRPr="001F5140">
        <w:rPr>
          <w:rFonts w:ascii="Arial" w:hAnsi="Arial"/>
        </w:rPr>
        <w:t>k) y la energía suministrada E(k) durante cada intervalo k.</w:t>
      </w:r>
    </w:p>
    <w:p w:rsidR="00520BC3" w:rsidRDefault="00520BC3" w:rsidP="007D68CC">
      <w:pPr>
        <w:widowControl w:val="0"/>
        <w:suppressAutoHyphens/>
        <w:jc w:val="both"/>
        <w:rPr>
          <w:rFonts w:ascii="Arial" w:hAnsi="Arial"/>
        </w:rPr>
      </w:pPr>
    </w:p>
    <w:p w:rsidR="001F5140" w:rsidRPr="001F5140" w:rsidRDefault="001F5140" w:rsidP="007D68CC">
      <w:pPr>
        <w:widowControl w:val="0"/>
        <w:suppressAutoHyphens/>
        <w:jc w:val="both"/>
        <w:rPr>
          <w:rFonts w:ascii="Arial" w:hAnsi="Arial"/>
        </w:rPr>
      </w:pPr>
      <w:r w:rsidRPr="001F5140">
        <w:rPr>
          <w:rFonts w:ascii="Arial" w:hAnsi="Arial"/>
        </w:rPr>
        <w:t>Existirá penalización en un punto de medida, si en más del 5 % del período de medición se ha superado el Nivel de Referencia (</w:t>
      </w:r>
      <w:proofErr w:type="spellStart"/>
      <w:r w:rsidRPr="001F5140">
        <w:rPr>
          <w:rFonts w:ascii="Arial" w:hAnsi="Arial"/>
        </w:rPr>
        <w:t>Pst</w:t>
      </w:r>
      <w:proofErr w:type="spellEnd"/>
      <w:r w:rsidR="002148CF">
        <w:rPr>
          <w:rFonts w:ascii="Arial" w:hAnsi="Arial"/>
        </w:rPr>
        <w:t xml:space="preserve"> de referencia)</w:t>
      </w:r>
      <w:r w:rsidR="002148CF" w:rsidRPr="002148CF">
        <w:rPr>
          <w:rFonts w:ascii="Arial" w:hAnsi="Arial"/>
        </w:rPr>
        <w:t xml:space="preserve"> </w:t>
      </w:r>
      <w:r w:rsidR="002148CF" w:rsidRPr="001F5140">
        <w:rPr>
          <w:rFonts w:ascii="Arial" w:hAnsi="Arial"/>
        </w:rPr>
        <w:t xml:space="preserve">según </w:t>
      </w:r>
      <w:r w:rsidR="002148CF">
        <w:rPr>
          <w:rFonts w:ascii="Arial" w:hAnsi="Arial"/>
        </w:rPr>
        <w:t xml:space="preserve">lo indicado en </w:t>
      </w:r>
      <w:r w:rsidR="002148CF" w:rsidRPr="001F5140">
        <w:rPr>
          <w:rFonts w:ascii="Arial" w:hAnsi="Arial"/>
        </w:rPr>
        <w:t xml:space="preserve">la Tabla </w:t>
      </w:r>
      <w:r w:rsidR="00BE7D4E">
        <w:rPr>
          <w:rFonts w:ascii="Arial" w:hAnsi="Arial"/>
        </w:rPr>
        <w:t xml:space="preserve">N° </w:t>
      </w:r>
      <w:r w:rsidR="002148CF" w:rsidRPr="001F5140">
        <w:rPr>
          <w:rFonts w:ascii="Arial" w:hAnsi="Arial"/>
        </w:rPr>
        <w:t>1</w:t>
      </w:r>
      <w:r w:rsidR="002148CF">
        <w:rPr>
          <w:rFonts w:ascii="Arial" w:hAnsi="Arial"/>
        </w:rPr>
        <w:t xml:space="preserve"> de</w:t>
      </w:r>
      <w:r w:rsidR="00C8049E">
        <w:rPr>
          <w:rFonts w:ascii="Arial" w:hAnsi="Arial"/>
        </w:rPr>
        <w:t xml:space="preserve">l Anexo </w:t>
      </w:r>
      <w:r w:rsidR="006B209D">
        <w:rPr>
          <w:rFonts w:ascii="Arial" w:hAnsi="Arial"/>
        </w:rPr>
        <w:t>a</w:t>
      </w:r>
      <w:r w:rsidR="002148CF">
        <w:rPr>
          <w:rFonts w:ascii="Arial" w:hAnsi="Arial"/>
        </w:rPr>
        <w:t xml:space="preserve"> la Resolución ENRE N° 184/2000 -punto 3.2.1-.</w:t>
      </w:r>
    </w:p>
    <w:p w:rsidR="001F5140" w:rsidRPr="001F5140" w:rsidRDefault="001F5140" w:rsidP="007D68CC">
      <w:pPr>
        <w:widowControl w:val="0"/>
        <w:suppressAutoHyphens/>
        <w:jc w:val="both"/>
        <w:rPr>
          <w:rFonts w:ascii="Arial" w:hAnsi="Arial"/>
        </w:rPr>
      </w:pPr>
    </w:p>
    <w:p w:rsidR="001F5140" w:rsidRDefault="001F5140" w:rsidP="007D68CC">
      <w:pPr>
        <w:widowControl w:val="0"/>
        <w:suppressAutoHyphens/>
        <w:jc w:val="both"/>
        <w:rPr>
          <w:rFonts w:ascii="Arial" w:hAnsi="Arial"/>
        </w:rPr>
      </w:pPr>
      <w:r w:rsidRPr="001F5140">
        <w:rPr>
          <w:rFonts w:ascii="Arial" w:hAnsi="Arial"/>
        </w:rPr>
        <w:t>En el caso anterior, en cada intervalo (k) registrado con energía suministrada en malas condiciones de calidad (intervalos con DPF mayor que cero), se utilizarán los siguientes val</w:t>
      </w:r>
      <w:r w:rsidR="00CF7CEA">
        <w:rPr>
          <w:rFonts w:ascii="Arial" w:hAnsi="Arial"/>
        </w:rPr>
        <w:t>ores de penalización unitaria ($</w:t>
      </w:r>
      <w:r w:rsidRPr="001F5140">
        <w:rPr>
          <w:rFonts w:ascii="Arial" w:hAnsi="Arial"/>
        </w:rPr>
        <w:t>/kWh) para el cálculo de la penalización total:</w:t>
      </w:r>
    </w:p>
    <w:p w:rsidR="003E6376" w:rsidRPr="001F5140" w:rsidRDefault="003E6376" w:rsidP="007D68CC">
      <w:pPr>
        <w:widowControl w:val="0"/>
        <w:suppressAutoHyphens/>
        <w:jc w:val="both"/>
        <w:rPr>
          <w:rFonts w:ascii="Arial" w:hAnsi="Arial"/>
        </w:rPr>
      </w:pPr>
    </w:p>
    <w:p w:rsidR="001F5140" w:rsidRPr="001F5140" w:rsidRDefault="001F5140" w:rsidP="007D68CC">
      <w:pPr>
        <w:widowControl w:val="0"/>
        <w:suppressAutoHyphens/>
        <w:rPr>
          <w:rFonts w:ascii="Arial" w:hAnsi="Arial"/>
        </w:rPr>
      </w:pPr>
    </w:p>
    <w:p w:rsidR="001F5140" w:rsidRPr="0065622F" w:rsidRDefault="001F5140" w:rsidP="007D68CC">
      <w:pPr>
        <w:widowControl w:val="0"/>
        <w:suppressAutoHyphens/>
        <w:jc w:val="center"/>
        <w:rPr>
          <w:rFonts w:ascii="Arial" w:hAnsi="Arial"/>
          <w:b/>
        </w:rPr>
      </w:pPr>
      <w:r w:rsidRPr="0065622F">
        <w:rPr>
          <w:rFonts w:ascii="Arial" w:hAnsi="Arial"/>
          <w:b/>
        </w:rPr>
        <w:t xml:space="preserve">0 &lt; </w:t>
      </w:r>
      <w:proofErr w:type="spellStart"/>
      <w:r w:rsidRPr="0065622F">
        <w:rPr>
          <w:rFonts w:ascii="Arial" w:hAnsi="Arial"/>
          <w:b/>
        </w:rPr>
        <w:t>DPF</w:t>
      </w:r>
      <w:r w:rsidR="00731CEA" w:rsidRPr="00731CEA">
        <w:rPr>
          <w:rFonts w:ascii="Arial" w:hAnsi="Arial"/>
          <w:b/>
          <w:vertAlign w:val="subscript"/>
        </w:rPr>
        <w:t>k</w:t>
      </w:r>
      <w:proofErr w:type="spellEnd"/>
      <w:r w:rsidRPr="0065622F">
        <w:rPr>
          <w:rFonts w:ascii="Arial" w:hAnsi="Arial"/>
          <w:b/>
        </w:rPr>
        <w:t xml:space="preserve"> </w:t>
      </w:r>
      <w:r w:rsidRPr="0065622F">
        <w:rPr>
          <w:rFonts w:ascii="Arial" w:hAnsi="Arial"/>
          <w:b/>
        </w:rPr>
        <w:sym w:font="Symbol" w:char="F0A3"/>
      </w:r>
      <w:r w:rsidR="009945E9">
        <w:rPr>
          <w:rFonts w:ascii="Arial" w:hAnsi="Arial"/>
          <w:b/>
        </w:rPr>
        <w:t xml:space="preserve"> 1        </w:t>
      </w:r>
      <w:proofErr w:type="spellStart"/>
      <w:r w:rsidRPr="0065622F">
        <w:rPr>
          <w:rFonts w:ascii="Arial" w:hAnsi="Arial"/>
          <w:b/>
        </w:rPr>
        <w:t>CESMC</w:t>
      </w:r>
      <w:proofErr w:type="spellEnd"/>
      <w:r w:rsidRPr="0065622F">
        <w:rPr>
          <w:rFonts w:ascii="Arial" w:hAnsi="Arial"/>
          <w:b/>
        </w:rPr>
        <w:t xml:space="preserve"> * DPF</w:t>
      </w:r>
      <w:r w:rsidR="00731CEA" w:rsidRPr="00731CEA">
        <w:rPr>
          <w:rFonts w:ascii="Arial" w:hAnsi="Arial"/>
          <w:b/>
          <w:vertAlign w:val="subscript"/>
        </w:rPr>
        <w:t>k</w:t>
      </w:r>
      <w:r w:rsidRPr="0065622F">
        <w:rPr>
          <w:rFonts w:ascii="Arial" w:hAnsi="Arial"/>
          <w:b/>
          <w:vertAlign w:val="superscript"/>
        </w:rPr>
        <w:t>2</w:t>
      </w:r>
      <w:r w:rsidRPr="0065622F">
        <w:rPr>
          <w:rFonts w:ascii="Arial" w:hAnsi="Arial"/>
          <w:b/>
        </w:rPr>
        <w:t xml:space="preserve"> </w:t>
      </w:r>
      <w:r w:rsidR="006661A5" w:rsidRPr="0065622F">
        <w:rPr>
          <w:rFonts w:ascii="Arial" w:hAnsi="Arial"/>
          <w:b/>
        </w:rPr>
        <w:t xml:space="preserve">   </w:t>
      </w:r>
      <w:r w:rsidR="009945E9">
        <w:rPr>
          <w:rFonts w:ascii="Arial" w:hAnsi="Arial"/>
          <w:b/>
        </w:rPr>
        <w:t>(</w:t>
      </w:r>
      <w:r w:rsidRPr="0065622F">
        <w:rPr>
          <w:rFonts w:ascii="Arial" w:hAnsi="Arial"/>
          <w:b/>
        </w:rPr>
        <w:t>$/kWh</w:t>
      </w:r>
      <w:r w:rsidR="009945E9">
        <w:rPr>
          <w:rFonts w:ascii="Arial" w:hAnsi="Arial"/>
          <w:b/>
        </w:rPr>
        <w:t>)</w:t>
      </w:r>
    </w:p>
    <w:p w:rsidR="001F5140" w:rsidRPr="0065622F" w:rsidRDefault="00731CEA" w:rsidP="007D68CC">
      <w:pPr>
        <w:widowControl w:val="0"/>
        <w:suppressAutoHyphens/>
        <w:jc w:val="center"/>
        <w:rPr>
          <w:rFonts w:ascii="Arial" w:hAnsi="Arial"/>
          <w:b/>
        </w:rPr>
      </w:pPr>
      <w:r>
        <w:rPr>
          <w:rFonts w:ascii="Arial" w:hAnsi="Arial"/>
          <w:b/>
        </w:rPr>
        <w:t xml:space="preserve">1 &lt; </w:t>
      </w:r>
      <w:proofErr w:type="spellStart"/>
      <w:r>
        <w:rPr>
          <w:rFonts w:ascii="Arial" w:hAnsi="Arial"/>
          <w:b/>
        </w:rPr>
        <w:t>DPF</w:t>
      </w:r>
      <w:r w:rsidRPr="00731CEA">
        <w:rPr>
          <w:rFonts w:ascii="Arial" w:hAnsi="Arial"/>
          <w:b/>
          <w:vertAlign w:val="subscript"/>
        </w:rPr>
        <w:t>k</w:t>
      </w:r>
      <w:proofErr w:type="spellEnd"/>
      <w:r w:rsidR="00F2456E" w:rsidRPr="0065622F">
        <w:rPr>
          <w:rFonts w:ascii="Arial" w:hAnsi="Arial"/>
          <w:b/>
        </w:rPr>
        <w:tab/>
        <w:t xml:space="preserve">          </w:t>
      </w:r>
      <w:r>
        <w:rPr>
          <w:rFonts w:ascii="Arial" w:hAnsi="Arial"/>
          <w:b/>
        </w:rPr>
        <w:t xml:space="preserve">        </w:t>
      </w:r>
      <w:proofErr w:type="spellStart"/>
      <w:r w:rsidR="00F2456E" w:rsidRPr="0065622F">
        <w:rPr>
          <w:rFonts w:ascii="Arial" w:hAnsi="Arial"/>
          <w:b/>
        </w:rPr>
        <w:t>CESMC</w:t>
      </w:r>
      <w:proofErr w:type="spellEnd"/>
      <w:r w:rsidR="00F2456E" w:rsidRPr="0065622F">
        <w:rPr>
          <w:rFonts w:ascii="Arial" w:hAnsi="Arial"/>
          <w:b/>
        </w:rPr>
        <w:t xml:space="preserve"> </w:t>
      </w:r>
      <w:r w:rsidR="001F5140" w:rsidRPr="0065622F">
        <w:rPr>
          <w:rFonts w:ascii="Arial" w:hAnsi="Arial"/>
          <w:b/>
        </w:rPr>
        <w:t xml:space="preserve">   </w:t>
      </w:r>
      <w:r w:rsidR="00F2456E" w:rsidRPr="0065622F">
        <w:rPr>
          <w:rFonts w:ascii="Arial" w:hAnsi="Arial"/>
          <w:b/>
        </w:rPr>
        <w:t xml:space="preserve">      </w:t>
      </w:r>
      <w:r>
        <w:rPr>
          <w:rFonts w:ascii="Arial" w:hAnsi="Arial"/>
          <w:b/>
        </w:rPr>
        <w:t xml:space="preserve"> </w:t>
      </w:r>
      <w:r w:rsidR="009945E9">
        <w:rPr>
          <w:rFonts w:ascii="Arial" w:hAnsi="Arial"/>
          <w:b/>
        </w:rPr>
        <w:t>(</w:t>
      </w:r>
      <w:r w:rsidR="001F5140" w:rsidRPr="0065622F">
        <w:rPr>
          <w:rFonts w:ascii="Arial" w:hAnsi="Arial"/>
          <w:b/>
        </w:rPr>
        <w:t>$/</w:t>
      </w:r>
      <w:proofErr w:type="spellStart"/>
      <w:r w:rsidR="001F5140" w:rsidRPr="0065622F">
        <w:rPr>
          <w:rFonts w:ascii="Arial" w:hAnsi="Arial"/>
          <w:b/>
        </w:rPr>
        <w:t>kWh</w:t>
      </w:r>
      <w:proofErr w:type="spellEnd"/>
      <w:r w:rsidR="009945E9">
        <w:rPr>
          <w:rFonts w:ascii="Arial" w:hAnsi="Arial"/>
          <w:b/>
        </w:rPr>
        <w:t>)</w:t>
      </w:r>
    </w:p>
    <w:p w:rsidR="001F5140" w:rsidRPr="001F5140" w:rsidRDefault="001F5140" w:rsidP="007D68CC">
      <w:pPr>
        <w:widowControl w:val="0"/>
        <w:suppressAutoHyphens/>
        <w:jc w:val="center"/>
        <w:rPr>
          <w:rFonts w:ascii="Arial" w:hAnsi="Arial"/>
          <w:highlight w:val="yellow"/>
        </w:rPr>
      </w:pPr>
    </w:p>
    <w:p w:rsidR="001F5140" w:rsidRPr="001F5140" w:rsidRDefault="001F5140" w:rsidP="007D68CC">
      <w:pPr>
        <w:widowControl w:val="0"/>
        <w:suppressAutoHyphens/>
        <w:jc w:val="center"/>
        <w:rPr>
          <w:rFonts w:ascii="Arial" w:hAnsi="Arial"/>
          <w:highlight w:val="yellow"/>
        </w:rPr>
      </w:pPr>
    </w:p>
    <w:p w:rsidR="002125BD" w:rsidRDefault="002125BD" w:rsidP="007D68CC">
      <w:pPr>
        <w:widowControl w:val="0"/>
        <w:suppressAutoHyphens/>
        <w:jc w:val="both"/>
        <w:rPr>
          <w:rFonts w:ascii="Arial" w:hAnsi="Arial"/>
        </w:rPr>
      </w:pPr>
      <w:r w:rsidRPr="00CF7CEA">
        <w:rPr>
          <w:rFonts w:ascii="Arial" w:hAnsi="Arial"/>
        </w:rPr>
        <w:t>La penalización aplicable</w:t>
      </w:r>
      <w:r>
        <w:rPr>
          <w:rFonts w:ascii="Arial" w:hAnsi="Arial"/>
        </w:rPr>
        <w:t xml:space="preserve"> total</w:t>
      </w:r>
      <w:r w:rsidRPr="00CF7CEA">
        <w:rPr>
          <w:rFonts w:ascii="Arial" w:hAnsi="Arial"/>
        </w:rPr>
        <w:t>, en caso de que se supere un 5 % de algunos de los Niveles de Referencia, será para un periodo de medida con intervalos k:</w:t>
      </w:r>
    </w:p>
    <w:p w:rsidR="003E6376" w:rsidRDefault="003E6376" w:rsidP="007D68CC">
      <w:pPr>
        <w:widowControl w:val="0"/>
        <w:suppressAutoHyphens/>
        <w:jc w:val="both"/>
        <w:rPr>
          <w:rFonts w:ascii="Arial" w:hAnsi="Arial"/>
        </w:rPr>
      </w:pPr>
    </w:p>
    <w:p w:rsidR="00FF5836" w:rsidRPr="00FF5836" w:rsidRDefault="00FF5836" w:rsidP="007D68CC">
      <w:pPr>
        <w:widowControl w:val="0"/>
        <w:suppressAutoHyphens/>
        <w:jc w:val="both"/>
        <w:rPr>
          <w:rFonts w:ascii="Arial" w:hAnsi="Arial" w:cs="Arial"/>
        </w:rPr>
      </w:pPr>
    </w:p>
    <w:p w:rsidR="00FF5836" w:rsidRPr="0065622F" w:rsidRDefault="00E903F2" w:rsidP="007D68CC">
      <w:pPr>
        <w:widowControl w:val="0"/>
        <w:suppressAutoHyphens/>
        <w:jc w:val="both"/>
        <w:rPr>
          <w:rFonts w:ascii="Arial" w:hAnsi="Arial" w:cs="Arial"/>
          <w:b/>
        </w:rPr>
      </w:pPr>
      <m:oMathPara>
        <m:oMath>
          <m:r>
            <m:rPr>
              <m:nor/>
            </m:rPr>
            <w:rPr>
              <w:rFonts w:ascii="Arial" w:hAnsi="Arial" w:cs="Arial"/>
              <w:b/>
            </w:rPr>
            <w:lastRenderedPageBreak/>
            <m:t xml:space="preserve">Penalización </m:t>
          </m:r>
          <m:d>
            <m:dPr>
              <m:ctrlPr>
                <w:rPr>
                  <w:rFonts w:ascii="Cambria Math" w:hAnsi="Cambria Math" w:cs="Arial"/>
                  <w:b/>
                </w:rPr>
              </m:ctrlPr>
            </m:dPr>
            <m:e>
              <m:r>
                <m:rPr>
                  <m:nor/>
                </m:rPr>
                <w:rPr>
                  <w:rFonts w:ascii="Arial" w:hAnsi="Arial" w:cs="Arial"/>
                  <w:b/>
                </w:rPr>
                <m:t>$</m:t>
              </m:r>
            </m:e>
          </m:d>
          <m:r>
            <m:rPr>
              <m:nor/>
            </m:rPr>
            <w:rPr>
              <w:rFonts w:ascii="Cambria Math" w:hAnsi="Arial" w:cs="Arial"/>
              <w:b/>
            </w:rPr>
            <m:t xml:space="preserve"> </m:t>
          </m:r>
          <m:r>
            <m:rPr>
              <m:nor/>
            </m:rPr>
            <w:rPr>
              <w:rFonts w:ascii="Arial" w:hAnsi="Arial" w:cs="Arial"/>
              <w:b/>
            </w:rPr>
            <m:t>=</m:t>
          </m:r>
          <m:nary>
            <m:naryPr>
              <m:chr m:val="∑"/>
              <m:limLoc m:val="undOvr"/>
              <m:supHide m:val="1"/>
              <m:ctrlPr>
                <w:rPr>
                  <w:rFonts w:ascii="Cambria Math" w:hAnsi="Cambria Math" w:cs="Arial"/>
                  <w:b/>
                  <w:lang w:eastAsia="es-ES"/>
                </w:rPr>
              </m:ctrlPr>
            </m:naryPr>
            <m:sub>
              <m:r>
                <m:rPr>
                  <m:nor/>
                </m:rPr>
                <w:rPr>
                  <w:rFonts w:ascii="Arial" w:hAnsi="Arial" w:cs="Arial"/>
                  <w:b/>
                </w:rPr>
                <m:t>k:</m:t>
              </m:r>
              <m:sSub>
                <m:sSubPr>
                  <m:ctrlPr>
                    <w:rPr>
                      <w:rFonts w:ascii="Cambria Math" w:hAnsi="Cambria Math" w:cs="Arial"/>
                      <w:b/>
                    </w:rPr>
                  </m:ctrlPr>
                </m:sSubPr>
                <m:e>
                  <m:r>
                    <m:rPr>
                      <m:nor/>
                    </m:rPr>
                    <w:rPr>
                      <w:rFonts w:ascii="Arial" w:hAnsi="Arial" w:cs="Arial"/>
                      <w:b/>
                    </w:rPr>
                    <m:t>DPF</m:t>
                  </m:r>
                </m:e>
                <m:sub>
                  <m:r>
                    <m:rPr>
                      <m:nor/>
                    </m:rPr>
                    <w:rPr>
                      <w:rFonts w:ascii="Arial" w:hAnsi="Arial" w:cs="Arial"/>
                      <w:b/>
                    </w:rPr>
                    <m:t>k</m:t>
                  </m:r>
                </m:sub>
              </m:sSub>
              <m:r>
                <m:rPr>
                  <m:nor/>
                </m:rPr>
                <w:rPr>
                  <w:rFonts w:ascii="Arial" w:hAnsi="Arial" w:cs="Arial"/>
                  <w:b/>
                </w:rPr>
                <m:t>≤1</m:t>
              </m:r>
            </m:sub>
            <m:sup/>
            <m:e>
              <m:r>
                <m:rPr>
                  <m:nor/>
                </m:rPr>
                <w:rPr>
                  <w:rFonts w:ascii="Arial" w:hAnsi="Arial" w:cs="Arial"/>
                  <w:b/>
                </w:rPr>
                <m:t>CESMC</m:t>
              </m:r>
              <m:r>
                <m:rPr>
                  <m:nor/>
                </m:rPr>
                <w:rPr>
                  <w:rFonts w:ascii="Cambria Math" w:hAnsi="Arial" w:cs="Arial"/>
                  <w:b/>
                </w:rPr>
                <m:t xml:space="preserve"> </m:t>
              </m:r>
              <m:r>
                <m:rPr>
                  <m:nor/>
                </m:rPr>
                <w:rPr>
                  <w:rFonts w:ascii="Arial" w:hAnsi="Arial" w:cs="Arial"/>
                  <w:b/>
                </w:rPr>
                <m:t xml:space="preserve">* </m:t>
              </m:r>
              <m:sSubSup>
                <m:sSubSupPr>
                  <m:ctrlPr>
                    <w:rPr>
                      <w:rFonts w:ascii="Cambria Math" w:hAnsi="Cambria Math" w:cs="Arial"/>
                      <w:b/>
                    </w:rPr>
                  </m:ctrlPr>
                </m:sSubSupPr>
                <m:e>
                  <m:r>
                    <m:rPr>
                      <m:nor/>
                    </m:rPr>
                    <w:rPr>
                      <w:rFonts w:ascii="Arial" w:hAnsi="Arial" w:cs="Arial"/>
                      <w:b/>
                    </w:rPr>
                    <m:t>DPF</m:t>
                  </m:r>
                </m:e>
                <m:sub>
                  <m:r>
                    <m:rPr>
                      <m:nor/>
                    </m:rPr>
                    <w:rPr>
                      <w:rFonts w:ascii="Arial" w:hAnsi="Arial" w:cs="Arial"/>
                      <w:b/>
                    </w:rPr>
                    <m:t>k</m:t>
                  </m:r>
                </m:sub>
                <m:sup>
                  <m:r>
                    <m:rPr>
                      <m:nor/>
                    </m:rPr>
                    <w:rPr>
                      <w:rFonts w:ascii="Arial" w:hAnsi="Arial" w:cs="Arial"/>
                      <w:b/>
                    </w:rPr>
                    <m:t>2</m:t>
                  </m:r>
                </m:sup>
              </m:sSubSup>
            </m:e>
          </m:nary>
          <m:r>
            <m:rPr>
              <m:nor/>
            </m:rPr>
            <w:rPr>
              <w:rFonts w:ascii="Arial" w:hAnsi="Arial" w:cs="Arial"/>
              <w:b/>
            </w:rPr>
            <m:t>*</m:t>
          </m:r>
          <m:r>
            <m:rPr>
              <m:nor/>
            </m:rPr>
            <w:rPr>
              <w:rFonts w:ascii="Cambria Math" w:hAnsi="Arial" w:cs="Arial"/>
              <w:b/>
            </w:rPr>
            <m:t xml:space="preserve"> </m:t>
          </m:r>
          <m:r>
            <m:rPr>
              <m:nor/>
            </m:rPr>
            <w:rPr>
              <w:rFonts w:ascii="Arial" w:hAnsi="Arial" w:cs="Arial"/>
              <w:b/>
            </w:rPr>
            <m:t>E</m:t>
          </m:r>
          <m:d>
            <m:dPr>
              <m:ctrlPr>
                <w:rPr>
                  <w:rFonts w:ascii="Cambria Math" w:hAnsi="Cambria Math" w:cs="Arial"/>
                  <w:b/>
                </w:rPr>
              </m:ctrlPr>
            </m:dPr>
            <m:e>
              <m:r>
                <m:rPr>
                  <m:nor/>
                </m:rPr>
                <w:rPr>
                  <w:rFonts w:ascii="Arial" w:hAnsi="Arial" w:cs="Arial"/>
                  <w:b/>
                </w:rPr>
                <m:t>k</m:t>
              </m:r>
            </m:e>
          </m:d>
          <m:r>
            <m:rPr>
              <m:nor/>
            </m:rPr>
            <w:rPr>
              <w:rFonts w:ascii="Cambria Math" w:hAnsi="Arial" w:cs="Arial"/>
              <w:b/>
            </w:rPr>
            <m:t xml:space="preserve"> </m:t>
          </m:r>
          <m:r>
            <m:rPr>
              <m:nor/>
            </m:rPr>
            <w:rPr>
              <w:rFonts w:ascii="Arial" w:hAnsi="Arial" w:cs="Arial"/>
              <w:b/>
            </w:rPr>
            <m:t>+</m:t>
          </m:r>
          <m:nary>
            <m:naryPr>
              <m:chr m:val="∑"/>
              <m:limLoc m:val="undOvr"/>
              <m:supHide m:val="1"/>
              <m:ctrlPr>
                <w:rPr>
                  <w:rFonts w:ascii="Cambria Math" w:hAnsi="Cambria Math" w:cs="Arial"/>
                  <w:b/>
                  <w:lang w:eastAsia="es-ES"/>
                </w:rPr>
              </m:ctrlPr>
            </m:naryPr>
            <m:sub>
              <m:r>
                <m:rPr>
                  <m:nor/>
                </m:rPr>
                <w:rPr>
                  <w:rFonts w:ascii="Arial" w:hAnsi="Arial" w:cs="Arial"/>
                  <w:b/>
                </w:rPr>
                <m:t>k:</m:t>
              </m:r>
              <m:sSub>
                <m:sSubPr>
                  <m:ctrlPr>
                    <w:rPr>
                      <w:rFonts w:ascii="Cambria Math" w:hAnsi="Cambria Math" w:cs="Arial"/>
                      <w:b/>
                    </w:rPr>
                  </m:ctrlPr>
                </m:sSubPr>
                <m:e>
                  <m:r>
                    <m:rPr>
                      <m:nor/>
                    </m:rPr>
                    <w:rPr>
                      <w:rFonts w:ascii="Arial" w:hAnsi="Arial" w:cs="Arial"/>
                      <w:b/>
                    </w:rPr>
                    <m:t>DPF</m:t>
                  </m:r>
                </m:e>
                <m:sub>
                  <m:r>
                    <m:rPr>
                      <m:nor/>
                    </m:rPr>
                    <w:rPr>
                      <w:rFonts w:ascii="Arial" w:hAnsi="Arial" w:cs="Arial"/>
                      <w:b/>
                    </w:rPr>
                    <m:t>k</m:t>
                  </m:r>
                </m:sub>
              </m:sSub>
              <m:r>
                <m:rPr>
                  <m:nor/>
                </m:rPr>
                <w:rPr>
                  <w:rFonts w:ascii="Arial" w:hAnsi="Arial" w:cs="Arial"/>
                  <w:b/>
                </w:rPr>
                <m:t>&gt;1</m:t>
              </m:r>
            </m:sub>
            <m:sup/>
            <m:e>
              <m:r>
                <m:rPr>
                  <m:nor/>
                </m:rPr>
                <w:rPr>
                  <w:rFonts w:ascii="Arial" w:hAnsi="Arial" w:cs="Arial"/>
                  <w:b/>
                </w:rPr>
                <m:t>CESMC</m:t>
              </m:r>
            </m:e>
          </m:nary>
          <m:r>
            <m:rPr>
              <m:nor/>
            </m:rPr>
            <w:rPr>
              <w:rFonts w:ascii="Arial" w:hAnsi="Arial" w:cs="Arial"/>
              <w:b/>
            </w:rPr>
            <m:t>*</m:t>
          </m:r>
          <m:r>
            <m:rPr>
              <m:nor/>
            </m:rPr>
            <w:rPr>
              <w:rFonts w:ascii="Cambria Math" w:hAnsi="Arial" w:cs="Arial"/>
              <w:b/>
            </w:rPr>
            <m:t xml:space="preserve"> </m:t>
          </m:r>
          <m:r>
            <m:rPr>
              <m:nor/>
            </m:rPr>
            <w:rPr>
              <w:rFonts w:ascii="Arial" w:hAnsi="Arial" w:cs="Arial"/>
              <w:b/>
            </w:rPr>
            <m:t>E</m:t>
          </m:r>
          <m:d>
            <m:dPr>
              <m:ctrlPr>
                <w:rPr>
                  <w:rFonts w:ascii="Cambria Math" w:hAnsi="Cambria Math" w:cs="Arial"/>
                  <w:b/>
                </w:rPr>
              </m:ctrlPr>
            </m:dPr>
            <m:e>
              <m:r>
                <m:rPr>
                  <m:nor/>
                </m:rPr>
                <w:rPr>
                  <w:rFonts w:ascii="Arial" w:hAnsi="Arial" w:cs="Arial"/>
                  <w:b/>
                </w:rPr>
                <m:t>k</m:t>
              </m:r>
            </m:e>
          </m:d>
        </m:oMath>
      </m:oMathPara>
    </w:p>
    <w:p w:rsidR="003E6376" w:rsidRDefault="003E6376" w:rsidP="007D68CC">
      <w:pPr>
        <w:widowControl w:val="0"/>
        <w:suppressAutoHyphens/>
        <w:spacing w:line="312" w:lineRule="auto"/>
        <w:jc w:val="both"/>
        <w:rPr>
          <w:rFonts w:ascii="Arial" w:hAnsi="Arial"/>
        </w:rPr>
      </w:pPr>
    </w:p>
    <w:p w:rsidR="001F5140" w:rsidRPr="001F5140" w:rsidRDefault="001F5140" w:rsidP="007D68CC">
      <w:pPr>
        <w:widowControl w:val="0"/>
        <w:suppressAutoHyphens/>
        <w:spacing w:line="312" w:lineRule="auto"/>
        <w:jc w:val="both"/>
        <w:rPr>
          <w:rFonts w:ascii="Arial" w:hAnsi="Arial"/>
        </w:rPr>
      </w:pPr>
      <w:r w:rsidRPr="001F5140">
        <w:rPr>
          <w:rFonts w:ascii="Arial" w:hAnsi="Arial"/>
        </w:rPr>
        <w:t>Donde:</w:t>
      </w:r>
    </w:p>
    <w:p w:rsidR="003B772A" w:rsidRDefault="001F5140" w:rsidP="007D68CC">
      <w:pPr>
        <w:widowControl w:val="0"/>
        <w:suppressAutoHyphens/>
        <w:spacing w:line="312" w:lineRule="auto"/>
        <w:jc w:val="both"/>
        <w:rPr>
          <w:rFonts w:ascii="Arial" w:hAnsi="Arial"/>
        </w:rPr>
      </w:pPr>
      <w:r w:rsidRPr="001356F4">
        <w:rPr>
          <w:rFonts w:ascii="Arial" w:hAnsi="Arial"/>
        </w:rPr>
        <w:t xml:space="preserve">CESMC es el costo de la energía suministrada en malas condiciones </w:t>
      </w:r>
      <w:r w:rsidR="00F2456E" w:rsidRPr="001356F4">
        <w:rPr>
          <w:rFonts w:ascii="Arial" w:hAnsi="Arial"/>
        </w:rPr>
        <w:t xml:space="preserve">conforme </w:t>
      </w:r>
      <w:r w:rsidR="00D35AF9" w:rsidRPr="001356F4">
        <w:rPr>
          <w:rFonts w:ascii="Arial" w:hAnsi="Arial"/>
        </w:rPr>
        <w:t xml:space="preserve">lo establecido en el </w:t>
      </w:r>
      <w:r w:rsidR="00800E99" w:rsidRPr="001356F4">
        <w:rPr>
          <w:rFonts w:ascii="Arial" w:hAnsi="Arial"/>
        </w:rPr>
        <w:t xml:space="preserve">Anexo XVI, </w:t>
      </w:r>
      <w:r w:rsidR="00D35AF9" w:rsidRPr="001356F4">
        <w:rPr>
          <w:rFonts w:ascii="Arial" w:hAnsi="Arial"/>
        </w:rPr>
        <w:t>punto 2.</w:t>
      </w:r>
      <w:r w:rsidR="00800E99" w:rsidRPr="001356F4">
        <w:rPr>
          <w:rFonts w:ascii="Arial" w:hAnsi="Arial"/>
        </w:rPr>
        <w:t>2.</w:t>
      </w:r>
      <w:r w:rsidR="00D35AF9" w:rsidRPr="001356F4">
        <w:rPr>
          <w:rFonts w:ascii="Arial" w:hAnsi="Arial"/>
        </w:rPr>
        <w:t xml:space="preserve">3 </w:t>
      </w:r>
      <w:r w:rsidR="00800E99" w:rsidRPr="001356F4">
        <w:rPr>
          <w:rFonts w:ascii="Arial" w:hAnsi="Arial"/>
        </w:rPr>
        <w:t>de la Resolución ENRE N° 63/2017</w:t>
      </w:r>
      <w:r w:rsidR="00F2456E" w:rsidRPr="001356F4">
        <w:rPr>
          <w:rFonts w:ascii="Arial" w:hAnsi="Arial"/>
        </w:rPr>
        <w:t xml:space="preserve"> </w:t>
      </w:r>
      <w:r w:rsidR="001356F4" w:rsidRPr="001356F4">
        <w:rPr>
          <w:rFonts w:ascii="Arial" w:hAnsi="Arial"/>
        </w:rPr>
        <w:t xml:space="preserve">para el caso de </w:t>
      </w:r>
      <w:r w:rsidR="00C1212E">
        <w:rPr>
          <w:rFonts w:ascii="Arial" w:hAnsi="Arial"/>
        </w:rPr>
        <w:t xml:space="preserve">EDENOR </w:t>
      </w:r>
      <w:r w:rsidR="00C8049E">
        <w:rPr>
          <w:rFonts w:ascii="Arial" w:hAnsi="Arial"/>
        </w:rPr>
        <w:t xml:space="preserve">S.A. </w:t>
      </w:r>
      <w:r w:rsidR="001356F4" w:rsidRPr="001356F4">
        <w:rPr>
          <w:rFonts w:ascii="Arial" w:hAnsi="Arial"/>
        </w:rPr>
        <w:t xml:space="preserve">y la Resolución ENRE N° 64/2017 para </w:t>
      </w:r>
      <w:r w:rsidR="00C1212E">
        <w:rPr>
          <w:rFonts w:ascii="Arial" w:hAnsi="Arial"/>
        </w:rPr>
        <w:t>EDESUR</w:t>
      </w:r>
      <w:r w:rsidR="00C8049E">
        <w:rPr>
          <w:rFonts w:ascii="Arial" w:hAnsi="Arial"/>
        </w:rPr>
        <w:t xml:space="preserve"> S.A.</w:t>
      </w:r>
      <w:r w:rsidR="001356F4" w:rsidRPr="001356F4">
        <w:rPr>
          <w:rFonts w:ascii="Arial" w:hAnsi="Arial"/>
        </w:rPr>
        <w:t xml:space="preserve">, </w:t>
      </w:r>
      <w:r w:rsidR="00F2456E" w:rsidRPr="001356F4">
        <w:rPr>
          <w:rFonts w:ascii="Arial" w:hAnsi="Arial"/>
        </w:rPr>
        <w:t xml:space="preserve">y ponderado de acuerdo al factor del CESMC establecido </w:t>
      </w:r>
      <w:r w:rsidR="00800E99" w:rsidRPr="001356F4">
        <w:rPr>
          <w:rFonts w:ascii="Arial" w:hAnsi="Arial"/>
        </w:rPr>
        <w:t xml:space="preserve">en el Anexo XVI, </w:t>
      </w:r>
      <w:r w:rsidR="00F2456E" w:rsidRPr="001356F4">
        <w:rPr>
          <w:rFonts w:ascii="Arial" w:hAnsi="Arial"/>
        </w:rPr>
        <w:t>punto 2.</w:t>
      </w:r>
      <w:r w:rsidR="00800E99" w:rsidRPr="001356F4">
        <w:rPr>
          <w:rFonts w:ascii="Arial" w:hAnsi="Arial"/>
        </w:rPr>
        <w:t>2.</w:t>
      </w:r>
      <w:r w:rsidR="00F2456E" w:rsidRPr="001356F4">
        <w:rPr>
          <w:rFonts w:ascii="Arial" w:hAnsi="Arial"/>
        </w:rPr>
        <w:t xml:space="preserve">4 </w:t>
      </w:r>
      <w:r w:rsidR="00800E99" w:rsidRPr="001356F4">
        <w:rPr>
          <w:rFonts w:ascii="Arial" w:hAnsi="Arial"/>
        </w:rPr>
        <w:t>de</w:t>
      </w:r>
      <w:r w:rsidR="00F2456E" w:rsidRPr="001356F4">
        <w:rPr>
          <w:rFonts w:ascii="Arial" w:hAnsi="Arial"/>
        </w:rPr>
        <w:t xml:space="preserve"> la</w:t>
      </w:r>
      <w:r w:rsidR="001356F4" w:rsidRPr="001356F4">
        <w:rPr>
          <w:rFonts w:ascii="Arial" w:hAnsi="Arial"/>
        </w:rPr>
        <w:t>s</w:t>
      </w:r>
      <w:r w:rsidR="00F2456E" w:rsidRPr="001356F4">
        <w:rPr>
          <w:rFonts w:ascii="Arial" w:hAnsi="Arial"/>
        </w:rPr>
        <w:t xml:space="preserve"> </w:t>
      </w:r>
      <w:r w:rsidR="000623C7" w:rsidRPr="001356F4">
        <w:rPr>
          <w:rFonts w:ascii="Arial" w:hAnsi="Arial"/>
        </w:rPr>
        <w:t>mencionada</w:t>
      </w:r>
      <w:r w:rsidR="001356F4" w:rsidRPr="001356F4">
        <w:rPr>
          <w:rFonts w:ascii="Arial" w:hAnsi="Arial"/>
        </w:rPr>
        <w:t>s resolucio</w:t>
      </w:r>
      <w:r w:rsidR="00E903F2" w:rsidRPr="001356F4">
        <w:rPr>
          <w:rFonts w:ascii="Arial" w:hAnsi="Arial"/>
        </w:rPr>
        <w:t>n</w:t>
      </w:r>
      <w:r w:rsidR="001356F4" w:rsidRPr="001356F4">
        <w:rPr>
          <w:rFonts w:ascii="Arial" w:hAnsi="Arial"/>
        </w:rPr>
        <w:t>es</w:t>
      </w:r>
      <w:r w:rsidR="00F2456E" w:rsidRPr="001356F4">
        <w:rPr>
          <w:rFonts w:ascii="Arial" w:hAnsi="Arial"/>
        </w:rPr>
        <w:t>.</w:t>
      </w:r>
    </w:p>
    <w:p w:rsidR="002F17B2" w:rsidRDefault="002F17B2" w:rsidP="007D68CC">
      <w:pPr>
        <w:widowControl w:val="0"/>
        <w:suppressAutoHyphens/>
        <w:spacing w:line="312" w:lineRule="auto"/>
        <w:jc w:val="both"/>
        <w:rPr>
          <w:rFonts w:ascii="Arial" w:hAnsi="Arial"/>
        </w:rPr>
      </w:pPr>
    </w:p>
    <w:p w:rsidR="00CF7CEA" w:rsidRPr="00800E99" w:rsidRDefault="00C62BFE" w:rsidP="007D68CC">
      <w:pPr>
        <w:widowControl w:val="0"/>
        <w:suppressAutoHyphens/>
        <w:spacing w:line="312" w:lineRule="auto"/>
        <w:jc w:val="both"/>
        <w:rPr>
          <w:rFonts w:ascii="Arial" w:hAnsi="Arial"/>
        </w:rPr>
      </w:pPr>
      <w:r>
        <w:rPr>
          <w:rFonts w:ascii="Arial" w:hAnsi="Arial"/>
          <w:b/>
        </w:rPr>
        <w:t>3.2. Perturbaciones en la tensión por A</w:t>
      </w:r>
      <w:r w:rsidR="00CF7CEA">
        <w:rPr>
          <w:rFonts w:ascii="Arial" w:hAnsi="Arial"/>
          <w:b/>
        </w:rPr>
        <w:t>rmónicas:</w:t>
      </w:r>
    </w:p>
    <w:p w:rsidR="00CF7CEA" w:rsidRDefault="00CF7CEA" w:rsidP="007D68CC">
      <w:pPr>
        <w:widowControl w:val="0"/>
        <w:suppressAutoHyphens/>
        <w:spacing w:line="312" w:lineRule="auto"/>
        <w:jc w:val="both"/>
        <w:rPr>
          <w:rFonts w:ascii="Arial" w:hAnsi="Arial"/>
          <w:b/>
        </w:rPr>
      </w:pPr>
    </w:p>
    <w:p w:rsidR="00967366" w:rsidRPr="001F5140" w:rsidRDefault="00CF7CEA" w:rsidP="007D68CC">
      <w:pPr>
        <w:widowControl w:val="0"/>
        <w:suppressAutoHyphens/>
        <w:spacing w:line="312" w:lineRule="auto"/>
        <w:jc w:val="both"/>
        <w:rPr>
          <w:rFonts w:ascii="Arial" w:hAnsi="Arial"/>
        </w:rPr>
      </w:pPr>
      <w:r w:rsidRPr="00CF7CEA">
        <w:rPr>
          <w:rFonts w:ascii="Arial" w:hAnsi="Arial"/>
        </w:rPr>
        <w:t>Se define como Distorsión Penalizable de Armónicas (DPA) a la distorsión armónica encontrada en cada intervalo de medida, por encima de los Niveles de Referencia y normalizada por estos mismos</w:t>
      </w:r>
      <w:r w:rsidR="00967366">
        <w:rPr>
          <w:rFonts w:ascii="Arial" w:hAnsi="Arial"/>
        </w:rPr>
        <w:t>,</w:t>
      </w:r>
      <w:r w:rsidR="00967366" w:rsidRPr="00EB56C8">
        <w:rPr>
          <w:rFonts w:ascii="Arial" w:hAnsi="Arial"/>
        </w:rPr>
        <w:t xml:space="preserve"> </w:t>
      </w:r>
      <w:r w:rsidR="00967366" w:rsidRPr="001F5140">
        <w:rPr>
          <w:rFonts w:ascii="Arial" w:hAnsi="Arial"/>
        </w:rPr>
        <w:t xml:space="preserve">según </w:t>
      </w:r>
      <w:r w:rsidR="00967366">
        <w:rPr>
          <w:rFonts w:ascii="Arial" w:hAnsi="Arial"/>
        </w:rPr>
        <w:t xml:space="preserve">lo indicado en </w:t>
      </w:r>
      <w:r w:rsidR="00967366" w:rsidRPr="001F5140">
        <w:rPr>
          <w:rFonts w:ascii="Arial" w:hAnsi="Arial"/>
        </w:rPr>
        <w:t>la</w:t>
      </w:r>
      <w:r w:rsidR="00967366">
        <w:rPr>
          <w:rFonts w:ascii="Arial" w:hAnsi="Arial"/>
        </w:rPr>
        <w:t>s</w:t>
      </w:r>
      <w:r w:rsidR="00967366" w:rsidRPr="001F5140">
        <w:rPr>
          <w:rFonts w:ascii="Arial" w:hAnsi="Arial"/>
        </w:rPr>
        <w:t xml:space="preserve"> Tabla</w:t>
      </w:r>
      <w:r w:rsidR="00E83C19">
        <w:rPr>
          <w:rFonts w:ascii="Arial" w:hAnsi="Arial"/>
        </w:rPr>
        <w:t>s</w:t>
      </w:r>
      <w:r w:rsidR="00967366" w:rsidRPr="001F5140">
        <w:rPr>
          <w:rFonts w:ascii="Arial" w:hAnsi="Arial"/>
        </w:rPr>
        <w:t xml:space="preserve"> </w:t>
      </w:r>
      <w:r w:rsidR="00E83C19">
        <w:rPr>
          <w:rFonts w:ascii="Arial" w:hAnsi="Arial"/>
        </w:rPr>
        <w:t xml:space="preserve">N° </w:t>
      </w:r>
      <w:r w:rsidR="00967366">
        <w:rPr>
          <w:rFonts w:ascii="Arial" w:hAnsi="Arial"/>
        </w:rPr>
        <w:t xml:space="preserve">2 y </w:t>
      </w:r>
      <w:r w:rsidR="00E83C19">
        <w:rPr>
          <w:rFonts w:ascii="Arial" w:hAnsi="Arial"/>
        </w:rPr>
        <w:t xml:space="preserve">N° </w:t>
      </w:r>
      <w:r w:rsidR="002A672E">
        <w:rPr>
          <w:rFonts w:ascii="Arial" w:hAnsi="Arial"/>
        </w:rPr>
        <w:t xml:space="preserve">3 del Anexo </w:t>
      </w:r>
      <w:r w:rsidR="006B209D">
        <w:rPr>
          <w:rFonts w:ascii="Arial" w:hAnsi="Arial"/>
        </w:rPr>
        <w:t>a</w:t>
      </w:r>
      <w:r w:rsidR="00967366">
        <w:rPr>
          <w:rFonts w:ascii="Arial" w:hAnsi="Arial"/>
        </w:rPr>
        <w:t xml:space="preserve"> la Resolución ENRE N° 184/2000, punto 3.2.2</w:t>
      </w:r>
      <w:r w:rsidR="008C4A4D">
        <w:rPr>
          <w:rFonts w:ascii="Arial" w:hAnsi="Arial"/>
        </w:rPr>
        <w:t>-</w:t>
      </w:r>
      <w:r w:rsidR="00967366" w:rsidRPr="001F5140">
        <w:rPr>
          <w:rFonts w:ascii="Arial" w:hAnsi="Arial"/>
        </w:rPr>
        <w:t>.</w:t>
      </w:r>
    </w:p>
    <w:p w:rsidR="00967366" w:rsidRDefault="00967366" w:rsidP="007D68CC">
      <w:pPr>
        <w:widowControl w:val="0"/>
        <w:suppressAutoHyphens/>
        <w:jc w:val="both"/>
        <w:rPr>
          <w:rFonts w:ascii="Arial" w:hAnsi="Arial"/>
        </w:rPr>
      </w:pPr>
    </w:p>
    <w:p w:rsidR="00967366" w:rsidRDefault="00967366" w:rsidP="007D68CC">
      <w:pPr>
        <w:widowControl w:val="0"/>
        <w:suppressAutoHyphens/>
        <w:jc w:val="both"/>
        <w:rPr>
          <w:rFonts w:ascii="Arial" w:hAnsi="Arial"/>
        </w:rPr>
      </w:pPr>
      <w:r>
        <w:rPr>
          <w:rFonts w:ascii="Arial" w:hAnsi="Arial"/>
        </w:rPr>
        <w:t>Por lo tanto, p</w:t>
      </w:r>
      <w:r w:rsidRPr="001F5140">
        <w:rPr>
          <w:rFonts w:ascii="Arial" w:hAnsi="Arial"/>
        </w:rPr>
        <w:t>ara cua</w:t>
      </w:r>
      <w:r w:rsidR="00C62BFE">
        <w:rPr>
          <w:rFonts w:ascii="Arial" w:hAnsi="Arial"/>
        </w:rPr>
        <w:t>lquier punto de suministro, la D</w:t>
      </w:r>
      <w:r w:rsidRPr="001F5140">
        <w:rPr>
          <w:rFonts w:ascii="Arial" w:hAnsi="Arial"/>
        </w:rPr>
        <w:t xml:space="preserve">istorsión </w:t>
      </w:r>
      <w:r w:rsidR="00C62BFE">
        <w:rPr>
          <w:rFonts w:ascii="Arial" w:hAnsi="Arial"/>
        </w:rPr>
        <w:t>P</w:t>
      </w:r>
      <w:r w:rsidRPr="001F5140">
        <w:rPr>
          <w:rFonts w:ascii="Arial" w:hAnsi="Arial"/>
        </w:rPr>
        <w:t xml:space="preserve">enalizable </w:t>
      </w:r>
      <w:r w:rsidR="00BE7D4E">
        <w:rPr>
          <w:rFonts w:ascii="Arial" w:hAnsi="Arial"/>
        </w:rPr>
        <w:t>de A</w:t>
      </w:r>
      <w:r>
        <w:rPr>
          <w:rFonts w:ascii="Arial" w:hAnsi="Arial"/>
        </w:rPr>
        <w:t xml:space="preserve">rmónicas </w:t>
      </w:r>
      <w:r w:rsidRPr="001F5140">
        <w:rPr>
          <w:rFonts w:ascii="Arial" w:hAnsi="Arial"/>
        </w:rPr>
        <w:t>se define como:</w:t>
      </w:r>
    </w:p>
    <w:p w:rsidR="00CF7CEA" w:rsidRPr="00CF7CEA" w:rsidRDefault="00CF7CEA" w:rsidP="007D68CC">
      <w:pPr>
        <w:widowControl w:val="0"/>
        <w:suppressAutoHyphens/>
        <w:jc w:val="both"/>
        <w:rPr>
          <w:rFonts w:ascii="Arial" w:hAnsi="Arial"/>
        </w:rPr>
      </w:pPr>
    </w:p>
    <w:p w:rsidR="00CF7CEA" w:rsidRPr="00CF7CEA" w:rsidRDefault="00CF7CEA" w:rsidP="007D68CC">
      <w:pPr>
        <w:widowControl w:val="0"/>
        <w:suppressAutoHyphens/>
        <w:rPr>
          <w:rFonts w:ascii="Arial" w:hAnsi="Arial"/>
        </w:rPr>
      </w:pPr>
      <w:r w:rsidRPr="00CF7CEA">
        <w:rPr>
          <w:rFonts w:ascii="Arial" w:hAnsi="Arial"/>
        </w:rPr>
        <w:tab/>
      </w:r>
      <w:r w:rsidRPr="00CF7CEA">
        <w:rPr>
          <w:rFonts w:ascii="Arial" w:hAnsi="Arial"/>
        </w:rPr>
        <w:tab/>
      </w:r>
    </w:p>
    <w:p w:rsidR="00CF7CEA" w:rsidRPr="00BD484D" w:rsidRDefault="00B0366B" w:rsidP="007D68CC">
      <w:pPr>
        <w:widowControl w:val="0"/>
        <w:suppressAutoHyphens/>
        <w:rPr>
          <w:rFonts w:ascii="Arial" w:hAnsi="Arial" w:cs="Arial"/>
          <w:lang w:val="en-US"/>
        </w:rPr>
      </w:pPr>
      <m:oMathPara>
        <m:oMath>
          <m:sSub>
            <m:sSubPr>
              <m:ctrlPr>
                <w:rPr>
                  <w:rFonts w:ascii="Cambria Math" w:hAnsi="Cambria Math" w:cs="Arial"/>
                  <w:b/>
                </w:rPr>
              </m:ctrlPr>
            </m:sSubPr>
            <m:e>
              <m:r>
                <m:rPr>
                  <m:nor/>
                </m:rPr>
                <w:rPr>
                  <w:rFonts w:ascii="Arial" w:hAnsi="Arial" w:cs="Arial"/>
                  <w:b/>
                  <w:lang w:val="en-US"/>
                </w:rPr>
                <m:t>DPA</m:t>
              </m:r>
            </m:e>
            <m:sub>
              <m:r>
                <m:rPr>
                  <m:nor/>
                </m:rPr>
                <w:rPr>
                  <w:rFonts w:ascii="Arial" w:hAnsi="Arial" w:cs="Arial"/>
                  <w:b/>
                  <w:lang w:val="en-US"/>
                </w:rPr>
                <m:t>k</m:t>
              </m:r>
            </m:sub>
          </m:sSub>
          <m:r>
            <m:rPr>
              <m:nor/>
            </m:rPr>
            <w:rPr>
              <w:rFonts w:ascii="Arial" w:hAnsi="Arial" w:cs="Arial"/>
              <w:b/>
              <w:lang w:val="en-US"/>
            </w:rPr>
            <m:t xml:space="preserve">= </m:t>
          </m:r>
          <w:proofErr w:type="spellStart"/>
          <m:r>
            <m:rPr>
              <m:nor/>
            </m:rPr>
            <w:rPr>
              <w:rFonts w:ascii="Arial" w:hAnsi="Arial" w:cs="Arial"/>
              <w:b/>
              <w:lang w:val="en-US"/>
            </w:rPr>
            <m:t>Máx</m:t>
          </m:r>
          <w:proofErr w:type="spellEnd"/>
          <m:r>
            <m:rPr>
              <m:nor/>
            </m:rPr>
            <w:rPr>
              <w:rFonts w:ascii="Arial" w:hAnsi="Arial" w:cs="Arial"/>
              <w:b/>
              <w:lang w:val="en-US"/>
            </w:rPr>
            <m:t xml:space="preserve"> </m:t>
          </m:r>
          <m:d>
            <m:dPr>
              <m:ctrlPr>
                <w:rPr>
                  <w:rFonts w:ascii="Cambria Math" w:hAnsi="Cambria Math" w:cs="Arial"/>
                  <w:b/>
                </w:rPr>
              </m:ctrlPr>
            </m:dPr>
            <m:e>
              <m:r>
                <m:rPr>
                  <m:nor/>
                </m:rPr>
                <w:rPr>
                  <w:rFonts w:ascii="Arial" w:hAnsi="Arial" w:cs="Arial"/>
                  <w:b/>
                  <w:lang w:val="en-US"/>
                </w:rPr>
                <m:t xml:space="preserve">0 , </m:t>
              </m:r>
              <m:f>
                <m:fPr>
                  <m:ctrlPr>
                    <w:rPr>
                      <w:rFonts w:ascii="Cambria Math" w:hAnsi="Cambria Math" w:cs="Arial"/>
                      <w:b/>
                    </w:rPr>
                  </m:ctrlPr>
                </m:fPr>
                <m:num>
                  <w:proofErr w:type="spellStart"/>
                  <m:r>
                    <m:rPr>
                      <m:nor/>
                    </m:rPr>
                    <w:rPr>
                      <w:rFonts w:ascii="Arial" w:hAnsi="Arial" w:cs="Arial"/>
                      <w:b/>
                      <w:lang w:val="en-US"/>
                    </w:rPr>
                    <m:t>TDT</m:t>
                  </m:r>
                  <w:proofErr w:type="spellEnd"/>
                  <m:d>
                    <m:dPr>
                      <m:ctrlPr>
                        <w:rPr>
                          <w:rFonts w:ascii="Cambria Math" w:hAnsi="Cambria Math" w:cs="Arial"/>
                          <w:b/>
                        </w:rPr>
                      </m:ctrlPr>
                    </m:dPr>
                    <m:e>
                      <m:r>
                        <m:rPr>
                          <m:nor/>
                        </m:rPr>
                        <w:rPr>
                          <w:rFonts w:ascii="Arial" w:hAnsi="Arial" w:cs="Arial"/>
                          <w:b/>
                          <w:lang w:val="en-US"/>
                        </w:rPr>
                        <m:t>k</m:t>
                      </m:r>
                    </m:e>
                  </m:d>
                  <m:r>
                    <m:rPr>
                      <m:nor/>
                    </m:rPr>
                    <w:rPr>
                      <w:rFonts w:ascii="Arial" w:hAnsi="Arial" w:cs="Arial"/>
                      <w:b/>
                      <w:lang w:val="en-US"/>
                    </w:rPr>
                    <m:t xml:space="preserve"> -TDT</m:t>
                  </m:r>
                </m:num>
                <m:den>
                  <m:r>
                    <m:rPr>
                      <m:nor/>
                    </m:rPr>
                    <w:rPr>
                      <w:rFonts w:ascii="Arial" w:hAnsi="Arial" w:cs="Arial"/>
                      <w:b/>
                      <w:lang w:val="en-US"/>
                    </w:rPr>
                    <m:t>TDT</m:t>
                  </m:r>
                </m:den>
              </m:f>
              <m:r>
                <m:rPr>
                  <m:sty m:val="bi"/>
                </m:rPr>
                <w:rPr>
                  <w:rFonts w:ascii="Cambria Math" w:hAnsi="Cambria Math" w:cs="Arial"/>
                  <w:lang w:val="en-US"/>
                </w:rPr>
                <m:t xml:space="preserve"> </m:t>
              </m:r>
            </m:e>
          </m:d>
          <m:r>
            <m:rPr>
              <m:nor/>
            </m:rPr>
            <w:rPr>
              <w:rFonts w:ascii="Arial" w:hAnsi="Arial" w:cs="Arial"/>
              <w:b/>
              <w:lang w:val="en-US"/>
            </w:rPr>
            <m:t xml:space="preserve">+ </m:t>
          </m:r>
          <m:f>
            <m:fPr>
              <m:ctrlPr>
                <w:rPr>
                  <w:rFonts w:ascii="Cambria Math" w:hAnsi="Cambria Math" w:cs="Arial"/>
                  <w:b/>
                </w:rPr>
              </m:ctrlPr>
            </m:fPr>
            <m:num>
              <m:r>
                <m:rPr>
                  <m:nor/>
                </m:rPr>
                <w:rPr>
                  <w:rFonts w:ascii="Arial" w:hAnsi="Arial" w:cs="Arial"/>
                  <w:b/>
                  <w:lang w:val="en-US"/>
                </w:rPr>
                <m:t>1</m:t>
              </m:r>
            </m:num>
            <m:den>
              <m:r>
                <m:rPr>
                  <m:nor/>
                </m:rPr>
                <w:rPr>
                  <w:rFonts w:ascii="Arial" w:hAnsi="Arial" w:cs="Arial"/>
                  <w:b/>
                  <w:lang w:val="en-US"/>
                </w:rPr>
                <m:t>3</m:t>
              </m:r>
            </m:den>
          </m:f>
          <m:r>
            <m:rPr>
              <m:nor/>
            </m:rPr>
            <w:rPr>
              <w:rFonts w:ascii="Arial" w:hAnsi="Arial" w:cs="Arial"/>
              <w:b/>
              <w:lang w:val="en-US"/>
            </w:rPr>
            <m:t xml:space="preserve"> </m:t>
          </m:r>
          <m:nary>
            <m:naryPr>
              <m:chr m:val="∑"/>
              <m:limLoc m:val="undOvr"/>
              <m:ctrlPr>
                <w:rPr>
                  <w:rFonts w:ascii="Cambria Math" w:hAnsi="Cambria Math" w:cs="Arial"/>
                  <w:b/>
                </w:rPr>
              </m:ctrlPr>
            </m:naryPr>
            <m:sub>
              <m:r>
                <m:rPr>
                  <m:nor/>
                </m:rPr>
                <w:rPr>
                  <w:rFonts w:ascii="Arial" w:hAnsi="Arial" w:cs="Arial"/>
                  <w:b/>
                  <w:lang w:val="en-US"/>
                </w:rPr>
                <m:t>i=2</m:t>
              </m:r>
            </m:sub>
            <m:sup>
              <m:r>
                <m:rPr>
                  <m:nor/>
                </m:rPr>
                <w:rPr>
                  <w:rFonts w:ascii="Arial" w:hAnsi="Arial" w:cs="Arial"/>
                  <w:b/>
                  <w:lang w:val="en-US"/>
                </w:rPr>
                <m:t>i=40</m:t>
              </m:r>
            </m:sup>
            <m:e>
              <m:r>
                <m:rPr>
                  <m:nor/>
                </m:rPr>
                <w:rPr>
                  <w:rFonts w:ascii="Cambria Math" w:hAnsi="Arial" w:cs="Arial"/>
                  <w:b/>
                  <w:lang w:val="en-US"/>
                </w:rPr>
                <m:t xml:space="preserve"> </m:t>
              </m:r>
              <m:r>
                <m:rPr>
                  <m:nor/>
                </m:rPr>
                <w:rPr>
                  <w:rFonts w:ascii="Arial" w:hAnsi="Arial" w:cs="Arial"/>
                  <w:b/>
                  <w:lang w:val="en-US"/>
                </w:rPr>
                <m:t xml:space="preserve">Máx </m:t>
              </m:r>
              <m:d>
                <m:dPr>
                  <m:ctrlPr>
                    <w:rPr>
                      <w:rFonts w:ascii="Cambria Math" w:hAnsi="Cambria Math" w:cs="Arial"/>
                      <w:b/>
                    </w:rPr>
                  </m:ctrlPr>
                </m:dPr>
                <m:e>
                  <m:r>
                    <m:rPr>
                      <m:nor/>
                    </m:rPr>
                    <w:rPr>
                      <w:rFonts w:ascii="Arial" w:hAnsi="Arial" w:cs="Arial"/>
                      <w:b/>
                      <w:lang w:val="en-US"/>
                    </w:rPr>
                    <m:t xml:space="preserve">0 , </m:t>
                  </m:r>
                  <m:f>
                    <m:fPr>
                      <m:ctrlPr>
                        <w:rPr>
                          <w:rFonts w:ascii="Cambria Math" w:hAnsi="Cambria Math" w:cs="Arial"/>
                          <w:b/>
                        </w:rPr>
                      </m:ctrlPr>
                    </m:fPr>
                    <m:num>
                      <m:sSub>
                        <m:sSubPr>
                          <m:ctrlPr>
                            <w:rPr>
                              <w:rFonts w:ascii="Cambria Math" w:hAnsi="Cambria Math" w:cs="Arial"/>
                              <w:b/>
                            </w:rPr>
                          </m:ctrlPr>
                        </m:sSubPr>
                        <m:e>
                          <m:r>
                            <m:rPr>
                              <m:nor/>
                            </m:rPr>
                            <w:rPr>
                              <w:rFonts w:ascii="Arial" w:hAnsi="Arial" w:cs="Arial"/>
                              <w:b/>
                              <w:lang w:val="en-US"/>
                            </w:rPr>
                            <m:t>U</m:t>
                          </m:r>
                        </m:e>
                        <m:sub>
                          <m:r>
                            <m:rPr>
                              <m:nor/>
                            </m:rPr>
                            <w:rPr>
                              <w:rFonts w:ascii="Arial" w:hAnsi="Arial" w:cs="Arial"/>
                              <w:b/>
                              <w:lang w:val="en-US"/>
                            </w:rPr>
                            <m:t>i</m:t>
                          </m:r>
                        </m:sub>
                      </m:sSub>
                      <m:d>
                        <m:dPr>
                          <m:ctrlPr>
                            <w:rPr>
                              <w:rFonts w:ascii="Cambria Math" w:hAnsi="Cambria Math" w:cs="Arial"/>
                              <w:b/>
                            </w:rPr>
                          </m:ctrlPr>
                        </m:dPr>
                        <m:e>
                          <m:r>
                            <m:rPr>
                              <m:nor/>
                            </m:rPr>
                            <w:rPr>
                              <w:rFonts w:ascii="Arial" w:hAnsi="Arial" w:cs="Arial"/>
                              <w:b/>
                              <w:lang w:val="en-US"/>
                            </w:rPr>
                            <m:t>k</m:t>
                          </m:r>
                        </m:e>
                      </m:d>
                      <m:r>
                        <m:rPr>
                          <m:nor/>
                        </m:rPr>
                        <w:rPr>
                          <w:rFonts w:ascii="Arial" w:hAnsi="Arial" w:cs="Arial"/>
                          <w:b/>
                          <w:lang w:val="en-US"/>
                        </w:rPr>
                        <m:t xml:space="preserve"> - </m:t>
                      </m:r>
                      <m:sSub>
                        <m:sSubPr>
                          <m:ctrlPr>
                            <w:rPr>
                              <w:rFonts w:ascii="Cambria Math" w:hAnsi="Cambria Math" w:cs="Arial"/>
                              <w:b/>
                            </w:rPr>
                          </m:ctrlPr>
                        </m:sSubPr>
                        <m:e>
                          <m:r>
                            <m:rPr>
                              <m:nor/>
                            </m:rPr>
                            <w:rPr>
                              <w:rFonts w:ascii="Arial" w:hAnsi="Arial" w:cs="Arial"/>
                              <w:b/>
                              <w:lang w:val="en-US"/>
                            </w:rPr>
                            <m:t>U</m:t>
                          </m:r>
                        </m:e>
                        <m:sub>
                          <m:r>
                            <m:rPr>
                              <m:nor/>
                            </m:rPr>
                            <w:rPr>
                              <w:rFonts w:ascii="Arial" w:hAnsi="Arial" w:cs="Arial"/>
                              <w:b/>
                              <w:lang w:val="en-US"/>
                            </w:rPr>
                            <m:t>i</m:t>
                          </m:r>
                        </m:sub>
                      </m:sSub>
                    </m:num>
                    <m:den>
                      <m:sSub>
                        <m:sSubPr>
                          <m:ctrlPr>
                            <w:rPr>
                              <w:rFonts w:ascii="Cambria Math" w:hAnsi="Cambria Math" w:cs="Arial"/>
                              <w:b/>
                            </w:rPr>
                          </m:ctrlPr>
                        </m:sSubPr>
                        <m:e>
                          <m:r>
                            <m:rPr>
                              <m:nor/>
                            </m:rPr>
                            <w:rPr>
                              <w:rFonts w:ascii="Arial" w:hAnsi="Arial" w:cs="Arial"/>
                              <w:b/>
                              <w:lang w:val="en-US"/>
                            </w:rPr>
                            <m:t>U</m:t>
                          </m:r>
                        </m:e>
                        <m:sub>
                          <m:r>
                            <m:rPr>
                              <m:nor/>
                            </m:rPr>
                            <w:rPr>
                              <w:rFonts w:ascii="Arial" w:hAnsi="Arial" w:cs="Arial"/>
                              <w:b/>
                              <w:lang w:val="en-US"/>
                            </w:rPr>
                            <m:t>i</m:t>
                          </m:r>
                        </m:sub>
                      </m:sSub>
                    </m:den>
                  </m:f>
                  <m:r>
                    <m:rPr>
                      <m:sty m:val="bi"/>
                    </m:rPr>
                    <w:rPr>
                      <w:rFonts w:ascii="Cambria Math" w:hAnsi="Cambria Math" w:cs="Arial"/>
                      <w:lang w:val="en-US"/>
                    </w:rPr>
                    <m:t xml:space="preserve"> </m:t>
                  </m:r>
                </m:e>
              </m:d>
            </m:e>
          </m:nary>
        </m:oMath>
      </m:oMathPara>
    </w:p>
    <w:p w:rsidR="00CE0A9B" w:rsidRPr="00BD484D" w:rsidRDefault="00CE0A9B" w:rsidP="007D68CC">
      <w:pPr>
        <w:widowControl w:val="0"/>
        <w:suppressAutoHyphens/>
        <w:rPr>
          <w:rFonts w:ascii="Arial" w:hAnsi="Arial"/>
          <w:lang w:val="en-US"/>
        </w:rPr>
      </w:pPr>
    </w:p>
    <w:p w:rsidR="00CE0A9B" w:rsidRPr="00BD484D" w:rsidRDefault="00CE0A9B" w:rsidP="007D68CC">
      <w:pPr>
        <w:widowControl w:val="0"/>
        <w:suppressAutoHyphens/>
        <w:rPr>
          <w:rFonts w:ascii="Arial" w:hAnsi="Arial"/>
          <w:lang w:val="en-US"/>
        </w:rPr>
      </w:pPr>
    </w:p>
    <w:p w:rsidR="00CF7CEA" w:rsidRPr="00CF7CEA" w:rsidRDefault="00CF7CEA" w:rsidP="007D68CC">
      <w:pPr>
        <w:widowControl w:val="0"/>
        <w:suppressAutoHyphens/>
        <w:jc w:val="both"/>
        <w:rPr>
          <w:rFonts w:ascii="Arial" w:hAnsi="Arial"/>
        </w:rPr>
      </w:pPr>
      <w:r w:rsidRPr="00CF7CEA">
        <w:rPr>
          <w:rFonts w:ascii="Arial" w:hAnsi="Arial"/>
        </w:rPr>
        <w:t>Donde:</w:t>
      </w:r>
    </w:p>
    <w:p w:rsidR="00CF7CEA" w:rsidRPr="00CF7CEA" w:rsidRDefault="00CF7CEA" w:rsidP="007D68CC">
      <w:pPr>
        <w:widowControl w:val="0"/>
        <w:suppressAutoHyphens/>
        <w:jc w:val="both"/>
        <w:rPr>
          <w:rFonts w:ascii="Arial" w:hAnsi="Arial"/>
        </w:rPr>
      </w:pPr>
    </w:p>
    <w:p w:rsidR="00CF7CEA" w:rsidRPr="00CF7CEA" w:rsidRDefault="00CF7CEA" w:rsidP="007D68CC">
      <w:pPr>
        <w:widowControl w:val="0"/>
        <w:suppressAutoHyphens/>
        <w:jc w:val="both"/>
        <w:rPr>
          <w:rFonts w:ascii="Arial" w:hAnsi="Arial"/>
        </w:rPr>
      </w:pPr>
      <w:proofErr w:type="gramStart"/>
      <w:r w:rsidRPr="00CF7CEA">
        <w:rPr>
          <w:rFonts w:ascii="Arial" w:hAnsi="Arial"/>
        </w:rPr>
        <w:t>TDT(</w:t>
      </w:r>
      <w:proofErr w:type="gramEnd"/>
      <w:r w:rsidRPr="00CF7CEA">
        <w:rPr>
          <w:rFonts w:ascii="Arial" w:hAnsi="Arial"/>
        </w:rPr>
        <w:t>k) es la tasa de distorsión total registrada en el intervalo de medición k (10 minutos).</w:t>
      </w:r>
    </w:p>
    <w:p w:rsidR="00CF7CEA" w:rsidRPr="00CF7CEA" w:rsidRDefault="00CF7CEA" w:rsidP="007D68CC">
      <w:pPr>
        <w:widowControl w:val="0"/>
        <w:suppressAutoHyphens/>
        <w:jc w:val="both"/>
        <w:rPr>
          <w:rFonts w:ascii="Arial" w:hAnsi="Arial"/>
        </w:rPr>
      </w:pPr>
    </w:p>
    <w:p w:rsidR="00CF7CEA" w:rsidRPr="00CF7CEA" w:rsidRDefault="00CF7CEA" w:rsidP="007D68CC">
      <w:pPr>
        <w:widowControl w:val="0"/>
        <w:suppressAutoHyphens/>
        <w:jc w:val="both"/>
        <w:rPr>
          <w:rFonts w:ascii="Arial" w:hAnsi="Arial"/>
        </w:rPr>
      </w:pPr>
      <w:r w:rsidRPr="00CF7CEA">
        <w:rPr>
          <w:rFonts w:ascii="Arial" w:hAnsi="Arial"/>
        </w:rPr>
        <w:t>TDT es el nivel de distorsión tot</w:t>
      </w:r>
      <w:r w:rsidR="00E83C19">
        <w:rPr>
          <w:rFonts w:ascii="Arial" w:hAnsi="Arial"/>
        </w:rPr>
        <w:t>al de referencia definido en la Tabla</w:t>
      </w:r>
      <w:r w:rsidRPr="00CF7CEA">
        <w:rPr>
          <w:rFonts w:ascii="Arial" w:hAnsi="Arial"/>
        </w:rPr>
        <w:t xml:space="preserve"> </w:t>
      </w:r>
      <w:r w:rsidR="00BE7D4E">
        <w:rPr>
          <w:rFonts w:ascii="Arial" w:hAnsi="Arial"/>
        </w:rPr>
        <w:t xml:space="preserve">N° </w:t>
      </w:r>
      <w:r w:rsidRPr="00CF7CEA">
        <w:rPr>
          <w:rFonts w:ascii="Arial" w:hAnsi="Arial"/>
        </w:rPr>
        <w:t xml:space="preserve">2 </w:t>
      </w:r>
      <w:r w:rsidR="00BE7D4E">
        <w:rPr>
          <w:rFonts w:ascii="Arial" w:hAnsi="Arial"/>
        </w:rPr>
        <w:t xml:space="preserve">para suministros en MT (1 kV &lt; U </w:t>
      </w:r>
      <w:r w:rsidR="00BE7D4E">
        <w:rPr>
          <w:rFonts w:ascii="Arial" w:hAnsi="Arial" w:cs="Arial"/>
        </w:rPr>
        <w:t>&lt;</w:t>
      </w:r>
      <w:r w:rsidR="00BE7D4E">
        <w:rPr>
          <w:rFonts w:ascii="Arial" w:hAnsi="Arial"/>
        </w:rPr>
        <w:t xml:space="preserve"> 66 kV) y AT (66 kV </w:t>
      </w:r>
      <w:r w:rsidR="00BE7D4E">
        <w:rPr>
          <w:rFonts w:ascii="Arial" w:hAnsi="Arial" w:cs="Arial"/>
        </w:rPr>
        <w:t>≤</w:t>
      </w:r>
      <w:r w:rsidR="00BE7D4E">
        <w:rPr>
          <w:rFonts w:ascii="Arial" w:hAnsi="Arial"/>
        </w:rPr>
        <w:t xml:space="preserve"> U </w:t>
      </w:r>
      <w:r w:rsidR="00BE7D4E">
        <w:rPr>
          <w:rFonts w:ascii="Arial" w:hAnsi="Arial" w:cs="Arial"/>
        </w:rPr>
        <w:t>≤</w:t>
      </w:r>
      <w:r w:rsidR="00BE7D4E">
        <w:rPr>
          <w:rFonts w:ascii="Arial" w:hAnsi="Arial"/>
        </w:rPr>
        <w:t xml:space="preserve"> 220 kV)</w:t>
      </w:r>
      <w:r w:rsidR="00A81B7D">
        <w:rPr>
          <w:rFonts w:ascii="Arial" w:hAnsi="Arial"/>
        </w:rPr>
        <w:t xml:space="preserve"> </w:t>
      </w:r>
      <w:r w:rsidRPr="00CF7CEA">
        <w:rPr>
          <w:rFonts w:ascii="Arial" w:hAnsi="Arial"/>
        </w:rPr>
        <w:t xml:space="preserve">y </w:t>
      </w:r>
      <w:r w:rsidR="00E83C19">
        <w:rPr>
          <w:rFonts w:ascii="Arial" w:hAnsi="Arial"/>
        </w:rPr>
        <w:t xml:space="preserve">en la </w:t>
      </w:r>
      <w:r w:rsidR="00A81B7D">
        <w:rPr>
          <w:rFonts w:ascii="Arial" w:hAnsi="Arial"/>
        </w:rPr>
        <w:t xml:space="preserve">Tabla </w:t>
      </w:r>
      <w:r w:rsidR="00BE7D4E">
        <w:rPr>
          <w:rFonts w:ascii="Arial" w:hAnsi="Arial"/>
        </w:rPr>
        <w:t xml:space="preserve">N° </w:t>
      </w:r>
      <w:r w:rsidRPr="00CF7CEA">
        <w:rPr>
          <w:rFonts w:ascii="Arial" w:hAnsi="Arial"/>
        </w:rPr>
        <w:t>3</w:t>
      </w:r>
      <w:r w:rsidR="009A4D7A" w:rsidRPr="009A4D7A">
        <w:rPr>
          <w:rFonts w:ascii="Arial" w:hAnsi="Arial"/>
        </w:rPr>
        <w:t xml:space="preserve"> </w:t>
      </w:r>
      <w:r w:rsidR="00BE7D4E">
        <w:rPr>
          <w:rFonts w:ascii="Arial" w:hAnsi="Arial"/>
        </w:rPr>
        <w:t xml:space="preserve">para suministros en BT (U </w:t>
      </w:r>
      <w:r w:rsidR="00BE7D4E">
        <w:rPr>
          <w:rFonts w:ascii="Arial" w:hAnsi="Arial" w:cs="Arial"/>
        </w:rPr>
        <w:t>≤</w:t>
      </w:r>
      <w:r w:rsidR="00BE7D4E">
        <w:rPr>
          <w:rFonts w:ascii="Arial" w:hAnsi="Arial"/>
        </w:rPr>
        <w:t xml:space="preserve"> 1 kV) </w:t>
      </w:r>
      <w:r w:rsidR="002A672E">
        <w:rPr>
          <w:rFonts w:ascii="Arial" w:hAnsi="Arial"/>
        </w:rPr>
        <w:t xml:space="preserve">del Anexo </w:t>
      </w:r>
      <w:r w:rsidR="00F40623">
        <w:rPr>
          <w:rFonts w:ascii="Arial" w:hAnsi="Arial"/>
        </w:rPr>
        <w:t>a</w:t>
      </w:r>
      <w:r w:rsidR="002A672E">
        <w:rPr>
          <w:rFonts w:ascii="Arial" w:hAnsi="Arial"/>
        </w:rPr>
        <w:t xml:space="preserve"> la</w:t>
      </w:r>
      <w:r w:rsidR="009A4D7A">
        <w:rPr>
          <w:rFonts w:ascii="Arial" w:hAnsi="Arial"/>
        </w:rPr>
        <w:t xml:space="preserve"> Resolución ENRE N° 184/2000</w:t>
      </w:r>
      <w:r w:rsidR="009A4D7A" w:rsidRPr="001F5140">
        <w:rPr>
          <w:rFonts w:ascii="Arial" w:hAnsi="Arial"/>
        </w:rPr>
        <w:t>.</w:t>
      </w:r>
    </w:p>
    <w:p w:rsidR="00CF7CEA" w:rsidRPr="00CF7CEA" w:rsidRDefault="00CF7CEA" w:rsidP="007D68CC">
      <w:pPr>
        <w:widowControl w:val="0"/>
        <w:suppressAutoHyphens/>
        <w:jc w:val="both"/>
        <w:rPr>
          <w:rFonts w:ascii="Arial" w:hAnsi="Arial"/>
        </w:rPr>
      </w:pPr>
    </w:p>
    <w:p w:rsidR="00CF7CEA" w:rsidRPr="00CF7CEA" w:rsidRDefault="00CF7CEA" w:rsidP="007D68CC">
      <w:pPr>
        <w:widowControl w:val="0"/>
        <w:suppressAutoHyphens/>
        <w:jc w:val="both"/>
        <w:rPr>
          <w:rFonts w:ascii="Arial" w:hAnsi="Arial"/>
        </w:rPr>
      </w:pPr>
      <w:proofErr w:type="spellStart"/>
      <w:r w:rsidRPr="00CF7CEA">
        <w:rPr>
          <w:rFonts w:ascii="Arial" w:hAnsi="Arial"/>
        </w:rPr>
        <w:t>Ui</w:t>
      </w:r>
      <w:proofErr w:type="spellEnd"/>
      <w:r w:rsidRPr="00CF7CEA">
        <w:rPr>
          <w:rFonts w:ascii="Arial" w:hAnsi="Arial"/>
        </w:rPr>
        <w:t xml:space="preserve"> (k) es el valor de la tensión armónica i en el intervalo de medición k.</w:t>
      </w:r>
    </w:p>
    <w:p w:rsidR="00CF7CEA" w:rsidRPr="00CF7CEA" w:rsidRDefault="00CF7CEA" w:rsidP="007D68CC">
      <w:pPr>
        <w:widowControl w:val="0"/>
        <w:suppressAutoHyphens/>
        <w:jc w:val="both"/>
        <w:rPr>
          <w:rFonts w:ascii="Arial" w:hAnsi="Arial"/>
        </w:rPr>
      </w:pPr>
    </w:p>
    <w:p w:rsidR="00E83C19" w:rsidRPr="00CF7CEA" w:rsidRDefault="00CF7CEA" w:rsidP="007D68CC">
      <w:pPr>
        <w:widowControl w:val="0"/>
        <w:suppressAutoHyphens/>
        <w:jc w:val="both"/>
        <w:rPr>
          <w:rFonts w:ascii="Arial" w:hAnsi="Arial"/>
        </w:rPr>
      </w:pPr>
      <w:proofErr w:type="spellStart"/>
      <w:r w:rsidRPr="00CF7CEA">
        <w:rPr>
          <w:rFonts w:ascii="Arial" w:hAnsi="Arial"/>
        </w:rPr>
        <w:t>Ui</w:t>
      </w:r>
      <w:proofErr w:type="spellEnd"/>
      <w:r w:rsidRPr="00CF7CEA">
        <w:rPr>
          <w:rFonts w:ascii="Arial" w:hAnsi="Arial"/>
        </w:rPr>
        <w:t xml:space="preserve"> es el Nivel de Referencia de la tensión armónica i definido </w:t>
      </w:r>
      <w:r w:rsidR="00E83C19">
        <w:rPr>
          <w:rFonts w:ascii="Arial" w:hAnsi="Arial"/>
        </w:rPr>
        <w:t>en la Tabla</w:t>
      </w:r>
      <w:r w:rsidR="00E83C19" w:rsidRPr="00CF7CEA">
        <w:rPr>
          <w:rFonts w:ascii="Arial" w:hAnsi="Arial"/>
        </w:rPr>
        <w:t xml:space="preserve"> </w:t>
      </w:r>
      <w:r w:rsidR="00E83C19">
        <w:rPr>
          <w:rFonts w:ascii="Arial" w:hAnsi="Arial"/>
        </w:rPr>
        <w:t xml:space="preserve">N° </w:t>
      </w:r>
      <w:r w:rsidR="00E83C19" w:rsidRPr="00CF7CEA">
        <w:rPr>
          <w:rFonts w:ascii="Arial" w:hAnsi="Arial"/>
        </w:rPr>
        <w:t xml:space="preserve">2 </w:t>
      </w:r>
      <w:r w:rsidR="00E83C19">
        <w:rPr>
          <w:rFonts w:ascii="Arial" w:hAnsi="Arial"/>
        </w:rPr>
        <w:t xml:space="preserve">para suministros en MT (1 kV &lt; U </w:t>
      </w:r>
      <w:r w:rsidR="00E83C19">
        <w:rPr>
          <w:rFonts w:ascii="Arial" w:hAnsi="Arial" w:cs="Arial"/>
        </w:rPr>
        <w:t>&lt;</w:t>
      </w:r>
      <w:r w:rsidR="00E83C19">
        <w:rPr>
          <w:rFonts w:ascii="Arial" w:hAnsi="Arial"/>
        </w:rPr>
        <w:t xml:space="preserve"> 66 kV) y AT (66 kV </w:t>
      </w:r>
      <w:r w:rsidR="00E83C19">
        <w:rPr>
          <w:rFonts w:ascii="Arial" w:hAnsi="Arial" w:cs="Arial"/>
        </w:rPr>
        <w:t>≤</w:t>
      </w:r>
      <w:r w:rsidR="00E83C19">
        <w:rPr>
          <w:rFonts w:ascii="Arial" w:hAnsi="Arial"/>
        </w:rPr>
        <w:t xml:space="preserve"> U </w:t>
      </w:r>
      <w:r w:rsidR="00E83C19">
        <w:rPr>
          <w:rFonts w:ascii="Arial" w:hAnsi="Arial" w:cs="Arial"/>
        </w:rPr>
        <w:t>≤</w:t>
      </w:r>
      <w:r w:rsidR="00E83C19">
        <w:rPr>
          <w:rFonts w:ascii="Arial" w:hAnsi="Arial"/>
        </w:rPr>
        <w:t xml:space="preserve"> 220 kV) </w:t>
      </w:r>
      <w:r w:rsidR="00E83C19" w:rsidRPr="00CF7CEA">
        <w:rPr>
          <w:rFonts w:ascii="Arial" w:hAnsi="Arial"/>
        </w:rPr>
        <w:t xml:space="preserve">y </w:t>
      </w:r>
      <w:r w:rsidR="00E83C19">
        <w:rPr>
          <w:rFonts w:ascii="Arial" w:hAnsi="Arial"/>
        </w:rPr>
        <w:t xml:space="preserve">en la Tabla N° </w:t>
      </w:r>
      <w:r w:rsidR="00E83C19" w:rsidRPr="00CF7CEA">
        <w:rPr>
          <w:rFonts w:ascii="Arial" w:hAnsi="Arial"/>
        </w:rPr>
        <w:t>3</w:t>
      </w:r>
      <w:r w:rsidR="00E83C19" w:rsidRPr="009A4D7A">
        <w:rPr>
          <w:rFonts w:ascii="Arial" w:hAnsi="Arial"/>
        </w:rPr>
        <w:t xml:space="preserve"> </w:t>
      </w:r>
      <w:r w:rsidR="00E83C19">
        <w:rPr>
          <w:rFonts w:ascii="Arial" w:hAnsi="Arial"/>
        </w:rPr>
        <w:t xml:space="preserve">para suministros en BT (U </w:t>
      </w:r>
      <w:r w:rsidR="00E83C19">
        <w:rPr>
          <w:rFonts w:ascii="Arial" w:hAnsi="Arial" w:cs="Arial"/>
        </w:rPr>
        <w:t>≤</w:t>
      </w:r>
      <w:r w:rsidR="00E83C19">
        <w:rPr>
          <w:rFonts w:ascii="Arial" w:hAnsi="Arial"/>
        </w:rPr>
        <w:t xml:space="preserve"> 1 kV) </w:t>
      </w:r>
      <w:r w:rsidR="002A672E">
        <w:rPr>
          <w:rFonts w:ascii="Arial" w:hAnsi="Arial"/>
        </w:rPr>
        <w:t xml:space="preserve">del Anexo </w:t>
      </w:r>
      <w:r w:rsidR="006B209D">
        <w:rPr>
          <w:rFonts w:ascii="Arial" w:hAnsi="Arial"/>
        </w:rPr>
        <w:t>a</w:t>
      </w:r>
      <w:r w:rsidR="002A672E">
        <w:rPr>
          <w:rFonts w:ascii="Arial" w:hAnsi="Arial"/>
        </w:rPr>
        <w:t xml:space="preserve"> la </w:t>
      </w:r>
      <w:r w:rsidR="00E83C19">
        <w:rPr>
          <w:rFonts w:ascii="Arial" w:hAnsi="Arial"/>
        </w:rPr>
        <w:t>Resolución ENRE N° 184/2000</w:t>
      </w:r>
      <w:r w:rsidR="00E83C19" w:rsidRPr="001F5140">
        <w:rPr>
          <w:rFonts w:ascii="Arial" w:hAnsi="Arial"/>
        </w:rPr>
        <w:t>.</w:t>
      </w:r>
    </w:p>
    <w:p w:rsidR="00CF7CEA" w:rsidRPr="00CF7CEA" w:rsidRDefault="00CF7CEA" w:rsidP="007D68CC">
      <w:pPr>
        <w:widowControl w:val="0"/>
        <w:suppressAutoHyphens/>
        <w:jc w:val="both"/>
        <w:rPr>
          <w:rFonts w:ascii="Arial" w:hAnsi="Arial"/>
        </w:rPr>
      </w:pPr>
    </w:p>
    <w:p w:rsidR="00CF7CEA" w:rsidRPr="00CF7CEA" w:rsidRDefault="00CF7CEA" w:rsidP="007D68CC">
      <w:pPr>
        <w:widowControl w:val="0"/>
        <w:suppressAutoHyphens/>
        <w:jc w:val="both"/>
        <w:rPr>
          <w:rFonts w:ascii="Arial" w:hAnsi="Arial"/>
        </w:rPr>
      </w:pPr>
      <w:proofErr w:type="spellStart"/>
      <w:r w:rsidRPr="00CF7CEA">
        <w:rPr>
          <w:rFonts w:ascii="Arial" w:hAnsi="Arial"/>
        </w:rPr>
        <w:t>DPA</w:t>
      </w:r>
      <w:r w:rsidRPr="00731CEA">
        <w:rPr>
          <w:rFonts w:ascii="Arial" w:hAnsi="Arial"/>
          <w:vertAlign w:val="subscript"/>
        </w:rPr>
        <w:t>k</w:t>
      </w:r>
      <w:proofErr w:type="spellEnd"/>
      <w:r w:rsidRPr="00CF7CEA">
        <w:rPr>
          <w:rFonts w:ascii="Arial" w:hAnsi="Arial"/>
        </w:rPr>
        <w:t xml:space="preserve"> se calcula para cada intervalo k del periodo de medición, registrándose la energía suministrada </w:t>
      </w:r>
      <w:proofErr w:type="gramStart"/>
      <w:r w:rsidRPr="00CF7CEA">
        <w:rPr>
          <w:rFonts w:ascii="Arial" w:hAnsi="Arial"/>
        </w:rPr>
        <w:t>E(</w:t>
      </w:r>
      <w:proofErr w:type="gramEnd"/>
      <w:r w:rsidRPr="00CF7CEA">
        <w:rPr>
          <w:rFonts w:ascii="Arial" w:hAnsi="Arial"/>
        </w:rPr>
        <w:t>k) durante cada intervalo k.</w:t>
      </w:r>
    </w:p>
    <w:p w:rsidR="00520BC3" w:rsidRDefault="00520BC3" w:rsidP="007D68CC">
      <w:pPr>
        <w:widowControl w:val="0"/>
        <w:suppressAutoHyphens/>
        <w:jc w:val="both"/>
        <w:rPr>
          <w:rFonts w:ascii="Arial" w:hAnsi="Arial"/>
        </w:rPr>
      </w:pPr>
    </w:p>
    <w:p w:rsidR="00CF7CEA" w:rsidRPr="00CF7CEA" w:rsidRDefault="00CF7CEA" w:rsidP="007D68CC">
      <w:pPr>
        <w:widowControl w:val="0"/>
        <w:suppressAutoHyphens/>
        <w:jc w:val="both"/>
        <w:rPr>
          <w:rFonts w:ascii="Arial" w:hAnsi="Arial"/>
        </w:rPr>
      </w:pPr>
      <w:r w:rsidRPr="00CF7CEA">
        <w:rPr>
          <w:rFonts w:ascii="Arial" w:hAnsi="Arial"/>
        </w:rPr>
        <w:t xml:space="preserve">Existirá penalización en un punto de medida, si una o más Tensiones Armónicas en forma individual o la tasa de distorsión total superan </w:t>
      </w:r>
      <w:r w:rsidR="002148CF" w:rsidRPr="00CF7CEA">
        <w:rPr>
          <w:rFonts w:ascii="Arial" w:hAnsi="Arial"/>
        </w:rPr>
        <w:t xml:space="preserve">en más del 5 % del periodo de medición </w:t>
      </w:r>
      <w:r w:rsidRPr="00CF7CEA">
        <w:rPr>
          <w:rFonts w:ascii="Arial" w:hAnsi="Arial"/>
        </w:rPr>
        <w:t xml:space="preserve">sus Niveles de Referencia correspondientes </w:t>
      </w:r>
      <w:r w:rsidR="002148CF">
        <w:rPr>
          <w:rFonts w:ascii="Arial" w:hAnsi="Arial"/>
        </w:rPr>
        <w:t xml:space="preserve">a los </w:t>
      </w:r>
      <w:r w:rsidRPr="00CF7CEA">
        <w:rPr>
          <w:rFonts w:ascii="Arial" w:hAnsi="Arial"/>
        </w:rPr>
        <w:t xml:space="preserve">indicados en las Tablas </w:t>
      </w:r>
      <w:r w:rsidR="008C4A4D">
        <w:rPr>
          <w:rFonts w:ascii="Arial" w:hAnsi="Arial"/>
        </w:rPr>
        <w:t xml:space="preserve">N° </w:t>
      </w:r>
      <w:r w:rsidRPr="00CF7CEA">
        <w:rPr>
          <w:rFonts w:ascii="Arial" w:hAnsi="Arial"/>
        </w:rPr>
        <w:t xml:space="preserve">2 y </w:t>
      </w:r>
      <w:r w:rsidR="008C4A4D">
        <w:rPr>
          <w:rFonts w:ascii="Arial" w:hAnsi="Arial"/>
        </w:rPr>
        <w:t xml:space="preserve">N° </w:t>
      </w:r>
      <w:r w:rsidRPr="00CF7CEA">
        <w:rPr>
          <w:rFonts w:ascii="Arial" w:hAnsi="Arial"/>
        </w:rPr>
        <w:t>3</w:t>
      </w:r>
      <w:r w:rsidR="002148CF" w:rsidRPr="002148CF">
        <w:rPr>
          <w:rFonts w:ascii="Arial" w:hAnsi="Arial"/>
        </w:rPr>
        <w:t xml:space="preserve"> </w:t>
      </w:r>
      <w:r w:rsidR="002A672E">
        <w:rPr>
          <w:rFonts w:ascii="Arial" w:hAnsi="Arial"/>
        </w:rPr>
        <w:t xml:space="preserve">del Anexo </w:t>
      </w:r>
      <w:r w:rsidR="006B209D">
        <w:rPr>
          <w:rFonts w:ascii="Arial" w:hAnsi="Arial"/>
        </w:rPr>
        <w:t>a</w:t>
      </w:r>
      <w:r w:rsidR="002A672E">
        <w:rPr>
          <w:rFonts w:ascii="Arial" w:hAnsi="Arial"/>
        </w:rPr>
        <w:t xml:space="preserve"> la </w:t>
      </w:r>
      <w:r w:rsidR="002148CF">
        <w:rPr>
          <w:rFonts w:ascii="Arial" w:hAnsi="Arial"/>
        </w:rPr>
        <w:t>Resolución ENRE N° 184/2000 -punto 3.2.2-</w:t>
      </w:r>
      <w:r w:rsidR="008C4A4D">
        <w:rPr>
          <w:rFonts w:ascii="Arial" w:hAnsi="Arial"/>
        </w:rPr>
        <w:t>.</w:t>
      </w:r>
    </w:p>
    <w:p w:rsidR="00CF7CEA" w:rsidRPr="00CF7CEA" w:rsidRDefault="00CF7CEA" w:rsidP="007D68CC">
      <w:pPr>
        <w:widowControl w:val="0"/>
        <w:suppressAutoHyphens/>
        <w:jc w:val="both"/>
        <w:rPr>
          <w:rFonts w:ascii="Arial" w:hAnsi="Arial"/>
        </w:rPr>
      </w:pPr>
    </w:p>
    <w:p w:rsidR="00CF7CEA" w:rsidRPr="00CF7CEA" w:rsidRDefault="00CF7CEA" w:rsidP="007D68CC">
      <w:pPr>
        <w:widowControl w:val="0"/>
        <w:suppressAutoHyphens/>
        <w:jc w:val="both"/>
        <w:rPr>
          <w:rFonts w:ascii="Arial" w:hAnsi="Arial"/>
        </w:rPr>
      </w:pPr>
      <w:r w:rsidRPr="00CF7CEA">
        <w:rPr>
          <w:rFonts w:ascii="Arial" w:hAnsi="Arial"/>
        </w:rPr>
        <w:t>En el caso anterior, se aplicarán los siguientes val</w:t>
      </w:r>
      <w:r>
        <w:rPr>
          <w:rFonts w:ascii="Arial" w:hAnsi="Arial"/>
        </w:rPr>
        <w:t>ores de penalización unitaria ($</w:t>
      </w:r>
      <w:r w:rsidRPr="00CF7CEA">
        <w:rPr>
          <w:rFonts w:ascii="Arial" w:hAnsi="Arial"/>
        </w:rPr>
        <w:t>/kWh) por la energía suministrada en malas condiciones de calidad (intervalos con DPA mayor que cero) para el cálculo de la penalización total:</w:t>
      </w:r>
    </w:p>
    <w:p w:rsidR="00CF7CEA" w:rsidRDefault="00CF7CEA" w:rsidP="007D68CC">
      <w:pPr>
        <w:widowControl w:val="0"/>
        <w:suppressAutoHyphens/>
        <w:jc w:val="both"/>
        <w:rPr>
          <w:rFonts w:ascii="Arial" w:hAnsi="Arial"/>
        </w:rPr>
      </w:pPr>
    </w:p>
    <w:p w:rsidR="00731CEA" w:rsidRPr="0065622F" w:rsidRDefault="00731CEA" w:rsidP="007D68CC">
      <w:pPr>
        <w:widowControl w:val="0"/>
        <w:suppressAutoHyphens/>
        <w:jc w:val="center"/>
        <w:rPr>
          <w:rFonts w:ascii="Arial" w:hAnsi="Arial"/>
          <w:b/>
        </w:rPr>
      </w:pPr>
      <w:r>
        <w:rPr>
          <w:rFonts w:ascii="Arial" w:hAnsi="Arial"/>
          <w:b/>
        </w:rPr>
        <w:t xml:space="preserve">0 &lt; </w:t>
      </w:r>
      <w:proofErr w:type="spellStart"/>
      <w:r>
        <w:rPr>
          <w:rFonts w:ascii="Arial" w:hAnsi="Arial"/>
          <w:b/>
        </w:rPr>
        <w:t>DPA</w:t>
      </w:r>
      <w:r w:rsidRPr="00731CEA">
        <w:rPr>
          <w:rFonts w:ascii="Arial" w:hAnsi="Arial"/>
          <w:b/>
          <w:vertAlign w:val="subscript"/>
        </w:rPr>
        <w:t>k</w:t>
      </w:r>
      <w:proofErr w:type="spellEnd"/>
      <w:r w:rsidRPr="0065622F">
        <w:rPr>
          <w:rFonts w:ascii="Arial" w:hAnsi="Arial"/>
          <w:b/>
        </w:rPr>
        <w:t xml:space="preserve"> </w:t>
      </w:r>
      <w:r w:rsidRPr="0065622F">
        <w:rPr>
          <w:rFonts w:ascii="Arial" w:hAnsi="Arial"/>
          <w:b/>
        </w:rPr>
        <w:sym w:font="Symbol" w:char="F0A3"/>
      </w:r>
      <w:r>
        <w:rPr>
          <w:rFonts w:ascii="Arial" w:hAnsi="Arial"/>
          <w:b/>
        </w:rPr>
        <w:t xml:space="preserve"> 1        </w:t>
      </w:r>
      <w:proofErr w:type="spellStart"/>
      <w:r w:rsidRPr="0065622F">
        <w:rPr>
          <w:rFonts w:ascii="Arial" w:hAnsi="Arial"/>
          <w:b/>
        </w:rPr>
        <w:t>CESMC</w:t>
      </w:r>
      <w:proofErr w:type="spellEnd"/>
      <w:r w:rsidRPr="0065622F">
        <w:rPr>
          <w:rFonts w:ascii="Arial" w:hAnsi="Arial"/>
          <w:b/>
        </w:rPr>
        <w:t xml:space="preserve"> * DP</w:t>
      </w:r>
      <w:r>
        <w:rPr>
          <w:rFonts w:ascii="Arial" w:hAnsi="Arial"/>
          <w:b/>
        </w:rPr>
        <w:t>A</w:t>
      </w:r>
      <w:r w:rsidRPr="00731CEA">
        <w:rPr>
          <w:rFonts w:ascii="Arial" w:hAnsi="Arial"/>
          <w:b/>
          <w:vertAlign w:val="subscript"/>
        </w:rPr>
        <w:t>k</w:t>
      </w:r>
      <w:r w:rsidRPr="0065622F">
        <w:rPr>
          <w:rFonts w:ascii="Arial" w:hAnsi="Arial"/>
          <w:b/>
          <w:vertAlign w:val="superscript"/>
        </w:rPr>
        <w:t>2</w:t>
      </w:r>
      <w:r w:rsidR="008C4A4D">
        <w:rPr>
          <w:rFonts w:ascii="Arial" w:hAnsi="Arial"/>
          <w:b/>
        </w:rPr>
        <w:t xml:space="preserve">    </w:t>
      </w:r>
      <w:r>
        <w:rPr>
          <w:rFonts w:ascii="Arial" w:hAnsi="Arial"/>
          <w:b/>
        </w:rPr>
        <w:t>(</w:t>
      </w:r>
      <w:r w:rsidRPr="0065622F">
        <w:rPr>
          <w:rFonts w:ascii="Arial" w:hAnsi="Arial"/>
          <w:b/>
        </w:rPr>
        <w:t>$/kWh</w:t>
      </w:r>
      <w:r>
        <w:rPr>
          <w:rFonts w:ascii="Arial" w:hAnsi="Arial"/>
          <w:b/>
        </w:rPr>
        <w:t>)</w:t>
      </w:r>
    </w:p>
    <w:p w:rsidR="00731CEA" w:rsidRDefault="00731CEA" w:rsidP="007D68CC">
      <w:pPr>
        <w:widowControl w:val="0"/>
        <w:suppressAutoHyphens/>
        <w:jc w:val="center"/>
        <w:rPr>
          <w:rFonts w:ascii="Arial" w:hAnsi="Arial"/>
          <w:b/>
        </w:rPr>
      </w:pPr>
      <w:r>
        <w:rPr>
          <w:rFonts w:ascii="Arial" w:hAnsi="Arial"/>
          <w:b/>
        </w:rPr>
        <w:t xml:space="preserve">1 &lt; </w:t>
      </w:r>
      <w:proofErr w:type="spellStart"/>
      <w:r>
        <w:rPr>
          <w:rFonts w:ascii="Arial" w:hAnsi="Arial"/>
          <w:b/>
        </w:rPr>
        <w:t>DPA</w:t>
      </w:r>
      <w:r w:rsidRPr="00731CEA">
        <w:rPr>
          <w:rFonts w:ascii="Arial" w:hAnsi="Arial"/>
          <w:b/>
          <w:vertAlign w:val="subscript"/>
        </w:rPr>
        <w:t>k</w:t>
      </w:r>
      <w:proofErr w:type="spellEnd"/>
      <w:r w:rsidRPr="0065622F">
        <w:rPr>
          <w:rFonts w:ascii="Arial" w:hAnsi="Arial"/>
          <w:b/>
        </w:rPr>
        <w:tab/>
        <w:t xml:space="preserve">          </w:t>
      </w:r>
      <w:r>
        <w:rPr>
          <w:rFonts w:ascii="Arial" w:hAnsi="Arial"/>
          <w:b/>
        </w:rPr>
        <w:t xml:space="preserve">        </w:t>
      </w:r>
      <w:proofErr w:type="spellStart"/>
      <w:r w:rsidRPr="0065622F">
        <w:rPr>
          <w:rFonts w:ascii="Arial" w:hAnsi="Arial"/>
          <w:b/>
        </w:rPr>
        <w:t>CESMC</w:t>
      </w:r>
      <w:proofErr w:type="spellEnd"/>
      <w:r w:rsidRPr="0065622F">
        <w:rPr>
          <w:rFonts w:ascii="Arial" w:hAnsi="Arial"/>
          <w:b/>
        </w:rPr>
        <w:t xml:space="preserve">         </w:t>
      </w:r>
      <w:r w:rsidR="008C4A4D">
        <w:rPr>
          <w:rFonts w:ascii="Arial" w:hAnsi="Arial"/>
          <w:b/>
        </w:rPr>
        <w:t xml:space="preserve"> </w:t>
      </w:r>
      <w:r>
        <w:rPr>
          <w:rFonts w:ascii="Arial" w:hAnsi="Arial"/>
          <w:b/>
        </w:rPr>
        <w:t xml:space="preserve"> (</w:t>
      </w:r>
      <w:r w:rsidRPr="0065622F">
        <w:rPr>
          <w:rFonts w:ascii="Arial" w:hAnsi="Arial"/>
          <w:b/>
        </w:rPr>
        <w:t>$/</w:t>
      </w:r>
      <w:proofErr w:type="spellStart"/>
      <w:r w:rsidRPr="0065622F">
        <w:rPr>
          <w:rFonts w:ascii="Arial" w:hAnsi="Arial"/>
          <w:b/>
        </w:rPr>
        <w:t>kWh</w:t>
      </w:r>
      <w:proofErr w:type="spellEnd"/>
      <w:r>
        <w:rPr>
          <w:rFonts w:ascii="Arial" w:hAnsi="Arial"/>
          <w:b/>
        </w:rPr>
        <w:t>)</w:t>
      </w:r>
    </w:p>
    <w:p w:rsidR="002A672E" w:rsidRPr="0065622F" w:rsidRDefault="002A672E" w:rsidP="007D68CC">
      <w:pPr>
        <w:widowControl w:val="0"/>
        <w:suppressAutoHyphens/>
        <w:jc w:val="center"/>
        <w:rPr>
          <w:rFonts w:ascii="Arial" w:hAnsi="Arial"/>
          <w:b/>
        </w:rPr>
      </w:pPr>
    </w:p>
    <w:p w:rsidR="001F5140" w:rsidRDefault="00CF7CEA" w:rsidP="007D68CC">
      <w:pPr>
        <w:widowControl w:val="0"/>
        <w:suppressAutoHyphens/>
        <w:jc w:val="both"/>
        <w:rPr>
          <w:rFonts w:ascii="Arial" w:hAnsi="Arial"/>
        </w:rPr>
      </w:pPr>
      <w:r w:rsidRPr="00CF7CEA">
        <w:rPr>
          <w:rFonts w:ascii="Arial" w:hAnsi="Arial"/>
        </w:rPr>
        <w:t>La penalización aplicable</w:t>
      </w:r>
      <w:r w:rsidR="002125BD">
        <w:rPr>
          <w:rFonts w:ascii="Arial" w:hAnsi="Arial"/>
        </w:rPr>
        <w:t xml:space="preserve"> total</w:t>
      </w:r>
      <w:r w:rsidRPr="00CF7CEA">
        <w:rPr>
          <w:rFonts w:ascii="Arial" w:hAnsi="Arial"/>
        </w:rPr>
        <w:t>, en caso de que se supere un 5 % de algunos de los Niveles de Referencia, será para un periodo de medida con intervalos k:</w:t>
      </w:r>
    </w:p>
    <w:p w:rsidR="00B72225" w:rsidRDefault="00B72225" w:rsidP="007D68CC">
      <w:pPr>
        <w:widowControl w:val="0"/>
        <w:suppressAutoHyphens/>
        <w:jc w:val="both"/>
        <w:rPr>
          <w:rFonts w:ascii="Arial" w:hAnsi="Arial"/>
        </w:rPr>
      </w:pPr>
    </w:p>
    <w:p w:rsidR="008C4A4D" w:rsidRPr="00B72225" w:rsidRDefault="00731CEA" w:rsidP="007D68CC">
      <w:pPr>
        <w:widowControl w:val="0"/>
        <w:suppressAutoHyphens/>
        <w:spacing w:line="312" w:lineRule="auto"/>
        <w:jc w:val="both"/>
        <w:rPr>
          <w:rFonts w:ascii="Arial" w:hAnsi="Arial"/>
        </w:rPr>
      </w:pPr>
      <m:oMathPara>
        <m:oMath>
          <m:r>
            <m:rPr>
              <m:nor/>
            </m:rPr>
            <w:rPr>
              <w:rFonts w:ascii="Arial" w:hAnsi="Arial" w:cs="Arial"/>
              <w:b/>
            </w:rPr>
            <m:t xml:space="preserve">Penalización </m:t>
          </m:r>
          <m:d>
            <m:dPr>
              <m:ctrlPr>
                <w:rPr>
                  <w:rFonts w:ascii="Cambria Math" w:hAnsi="Cambria Math" w:cs="Arial"/>
                  <w:b/>
                </w:rPr>
              </m:ctrlPr>
            </m:dPr>
            <m:e>
              <m:r>
                <m:rPr>
                  <m:nor/>
                </m:rPr>
                <w:rPr>
                  <w:rFonts w:ascii="Arial" w:hAnsi="Arial" w:cs="Arial"/>
                  <w:b/>
                </w:rPr>
                <m:t>$</m:t>
              </m:r>
            </m:e>
          </m:d>
          <m:r>
            <m:rPr>
              <m:nor/>
            </m:rPr>
            <w:rPr>
              <w:rFonts w:ascii="Arial" w:hAnsi="Arial" w:cs="Arial"/>
              <w:b/>
            </w:rPr>
            <m:t xml:space="preserve"> =</m:t>
          </m:r>
          <m:nary>
            <m:naryPr>
              <m:chr m:val="∑"/>
              <m:limLoc m:val="undOvr"/>
              <m:supHide m:val="1"/>
              <m:ctrlPr>
                <w:rPr>
                  <w:rFonts w:ascii="Cambria Math" w:hAnsi="Cambria Math" w:cs="Arial"/>
                  <w:b/>
                </w:rPr>
              </m:ctrlPr>
            </m:naryPr>
            <m:sub>
              <m:r>
                <m:rPr>
                  <m:nor/>
                </m:rPr>
                <w:rPr>
                  <w:rFonts w:ascii="Arial" w:hAnsi="Arial" w:cs="Arial"/>
                  <w:b/>
                </w:rPr>
                <m:t>k:</m:t>
              </m:r>
              <m:sSub>
                <m:sSubPr>
                  <m:ctrlPr>
                    <w:rPr>
                      <w:rFonts w:ascii="Cambria Math" w:hAnsi="Cambria Math" w:cs="Arial"/>
                      <w:b/>
                    </w:rPr>
                  </m:ctrlPr>
                </m:sSubPr>
                <m:e>
                  <m:r>
                    <m:rPr>
                      <m:nor/>
                    </m:rPr>
                    <w:rPr>
                      <w:rFonts w:ascii="Arial" w:hAnsi="Arial" w:cs="Arial"/>
                      <w:b/>
                    </w:rPr>
                    <m:t>DPA</m:t>
                  </m:r>
                </m:e>
                <m:sub>
                  <m:r>
                    <m:rPr>
                      <m:nor/>
                    </m:rPr>
                    <w:rPr>
                      <w:rFonts w:ascii="Arial" w:hAnsi="Arial" w:cs="Arial"/>
                      <w:b/>
                    </w:rPr>
                    <m:t>k</m:t>
                  </m:r>
                </m:sub>
              </m:sSub>
              <m:r>
                <m:rPr>
                  <m:nor/>
                </m:rPr>
                <w:rPr>
                  <w:rFonts w:ascii="Arial" w:hAnsi="Arial" w:cs="Arial"/>
                  <w:b/>
                </w:rPr>
                <m:t>≤1</m:t>
              </m:r>
            </m:sub>
            <m:sup/>
            <m:e>
              <m:r>
                <m:rPr>
                  <m:nor/>
                </m:rPr>
                <w:rPr>
                  <w:rFonts w:ascii="Arial" w:hAnsi="Arial" w:cs="Arial"/>
                  <w:b/>
                </w:rPr>
                <m:t xml:space="preserve">CESMC * </m:t>
              </m:r>
              <m:sSubSup>
                <m:sSubSupPr>
                  <m:ctrlPr>
                    <w:rPr>
                      <w:rFonts w:ascii="Cambria Math" w:hAnsi="Cambria Math" w:cs="Arial"/>
                      <w:b/>
                    </w:rPr>
                  </m:ctrlPr>
                </m:sSubSupPr>
                <m:e>
                  <m:r>
                    <m:rPr>
                      <m:nor/>
                    </m:rPr>
                    <w:rPr>
                      <w:rFonts w:ascii="Arial" w:hAnsi="Arial" w:cs="Arial"/>
                      <w:b/>
                    </w:rPr>
                    <m:t>DPA</m:t>
                  </m:r>
                </m:e>
                <m:sub>
                  <m:r>
                    <m:rPr>
                      <m:nor/>
                    </m:rPr>
                    <w:rPr>
                      <w:rFonts w:ascii="Arial" w:hAnsi="Arial" w:cs="Arial"/>
                      <w:b/>
                    </w:rPr>
                    <m:t>k</m:t>
                  </m:r>
                </m:sub>
                <m:sup>
                  <m:r>
                    <m:rPr>
                      <m:nor/>
                    </m:rPr>
                    <w:rPr>
                      <w:rFonts w:ascii="Arial" w:hAnsi="Arial" w:cs="Arial"/>
                      <w:b/>
                    </w:rPr>
                    <m:t>2</m:t>
                  </m:r>
                </m:sup>
              </m:sSubSup>
            </m:e>
          </m:nary>
          <m:r>
            <m:rPr>
              <m:nor/>
            </m:rPr>
            <w:rPr>
              <w:rFonts w:ascii="Arial" w:hAnsi="Arial" w:cs="Arial"/>
              <w:b/>
            </w:rPr>
            <m:t>* E</m:t>
          </m:r>
          <m:d>
            <m:dPr>
              <m:ctrlPr>
                <w:rPr>
                  <w:rFonts w:ascii="Cambria Math" w:hAnsi="Cambria Math" w:cs="Arial"/>
                  <w:b/>
                </w:rPr>
              </m:ctrlPr>
            </m:dPr>
            <m:e>
              <m:r>
                <m:rPr>
                  <m:nor/>
                </m:rPr>
                <w:rPr>
                  <w:rFonts w:ascii="Arial" w:hAnsi="Arial" w:cs="Arial"/>
                  <w:b/>
                </w:rPr>
                <m:t>k</m:t>
              </m:r>
            </m:e>
          </m:d>
          <m:r>
            <m:rPr>
              <m:nor/>
            </m:rPr>
            <w:rPr>
              <w:rFonts w:ascii="Arial" w:hAnsi="Arial" w:cs="Arial"/>
              <w:b/>
            </w:rPr>
            <m:t xml:space="preserve"> +</m:t>
          </m:r>
          <m:nary>
            <m:naryPr>
              <m:chr m:val="∑"/>
              <m:limLoc m:val="undOvr"/>
              <m:supHide m:val="1"/>
              <m:ctrlPr>
                <w:rPr>
                  <w:rFonts w:ascii="Cambria Math" w:hAnsi="Cambria Math" w:cs="Arial"/>
                  <w:b/>
                </w:rPr>
              </m:ctrlPr>
            </m:naryPr>
            <m:sub>
              <m:r>
                <m:rPr>
                  <m:nor/>
                </m:rPr>
                <w:rPr>
                  <w:rFonts w:ascii="Arial" w:hAnsi="Arial" w:cs="Arial"/>
                  <w:b/>
                </w:rPr>
                <m:t>k:</m:t>
              </m:r>
              <m:sSub>
                <m:sSubPr>
                  <m:ctrlPr>
                    <w:rPr>
                      <w:rFonts w:ascii="Cambria Math" w:hAnsi="Cambria Math" w:cs="Arial"/>
                      <w:b/>
                    </w:rPr>
                  </m:ctrlPr>
                </m:sSubPr>
                <m:e>
                  <m:r>
                    <m:rPr>
                      <m:nor/>
                    </m:rPr>
                    <w:rPr>
                      <w:rFonts w:ascii="Arial" w:hAnsi="Arial" w:cs="Arial"/>
                      <w:b/>
                    </w:rPr>
                    <m:t>DPA</m:t>
                  </m:r>
                </m:e>
                <m:sub>
                  <m:r>
                    <m:rPr>
                      <m:nor/>
                    </m:rPr>
                    <w:rPr>
                      <w:rFonts w:ascii="Arial" w:hAnsi="Arial" w:cs="Arial"/>
                      <w:b/>
                    </w:rPr>
                    <m:t>k</m:t>
                  </m:r>
                </m:sub>
              </m:sSub>
              <m:r>
                <m:rPr>
                  <m:nor/>
                </m:rPr>
                <w:rPr>
                  <w:rFonts w:ascii="Arial" w:hAnsi="Arial" w:cs="Arial"/>
                  <w:b/>
                </w:rPr>
                <m:t>&gt;1</m:t>
              </m:r>
            </m:sub>
            <m:sup/>
            <m:e>
              <m:r>
                <m:rPr>
                  <m:nor/>
                </m:rPr>
                <w:rPr>
                  <w:rFonts w:ascii="Arial" w:hAnsi="Arial" w:cs="Arial"/>
                  <w:b/>
                </w:rPr>
                <m:t>CESMC</m:t>
              </m:r>
            </m:e>
          </m:nary>
          <m:r>
            <m:rPr>
              <m:nor/>
            </m:rPr>
            <w:rPr>
              <w:rFonts w:ascii="Arial" w:hAnsi="Arial" w:cs="Arial"/>
              <w:b/>
            </w:rPr>
            <m:t>* E</m:t>
          </m:r>
          <m:d>
            <m:dPr>
              <m:ctrlPr>
                <w:rPr>
                  <w:rFonts w:ascii="Cambria Math" w:hAnsi="Cambria Math" w:cs="Arial"/>
                  <w:b/>
                </w:rPr>
              </m:ctrlPr>
            </m:dPr>
            <m:e>
              <m:r>
                <m:rPr>
                  <m:nor/>
                </m:rPr>
                <w:rPr>
                  <w:rFonts w:ascii="Arial" w:hAnsi="Arial" w:cs="Arial"/>
                  <w:b/>
                </w:rPr>
                <m:t>k</m:t>
              </m:r>
            </m:e>
          </m:d>
        </m:oMath>
      </m:oMathPara>
    </w:p>
    <w:p w:rsidR="00B72225" w:rsidRDefault="00B72225" w:rsidP="007D68CC">
      <w:pPr>
        <w:widowControl w:val="0"/>
        <w:suppressAutoHyphens/>
        <w:spacing w:line="312" w:lineRule="auto"/>
        <w:jc w:val="both"/>
        <w:rPr>
          <w:rFonts w:ascii="Arial" w:hAnsi="Arial"/>
        </w:rPr>
      </w:pPr>
    </w:p>
    <w:p w:rsidR="003B772A" w:rsidRPr="001F5140" w:rsidRDefault="003B772A" w:rsidP="007D68CC">
      <w:pPr>
        <w:widowControl w:val="0"/>
        <w:suppressAutoHyphens/>
        <w:spacing w:line="312" w:lineRule="auto"/>
        <w:jc w:val="both"/>
        <w:rPr>
          <w:rFonts w:ascii="Arial" w:hAnsi="Arial"/>
        </w:rPr>
      </w:pPr>
      <w:r w:rsidRPr="001F5140">
        <w:rPr>
          <w:rFonts w:ascii="Arial" w:hAnsi="Arial"/>
        </w:rPr>
        <w:t>Donde:</w:t>
      </w:r>
    </w:p>
    <w:p w:rsidR="002F17B2" w:rsidRDefault="003B772A" w:rsidP="007D68CC">
      <w:pPr>
        <w:widowControl w:val="0"/>
        <w:suppressAutoHyphens/>
        <w:spacing w:line="312" w:lineRule="auto"/>
        <w:jc w:val="both"/>
        <w:rPr>
          <w:rFonts w:ascii="Arial" w:hAnsi="Arial"/>
        </w:rPr>
      </w:pPr>
      <w:r w:rsidRPr="001356F4">
        <w:rPr>
          <w:rFonts w:ascii="Arial" w:hAnsi="Arial"/>
        </w:rPr>
        <w:t>CESMC es el costo de la energía suministrada en malas condiciones conforme lo estableci</w:t>
      </w:r>
      <w:r w:rsidR="00C1212E">
        <w:rPr>
          <w:rFonts w:ascii="Arial" w:hAnsi="Arial"/>
        </w:rPr>
        <w:t>do en el Anexo XVI, punto 2.2.3</w:t>
      </w:r>
      <w:r w:rsidRPr="001356F4">
        <w:rPr>
          <w:rFonts w:ascii="Arial" w:hAnsi="Arial"/>
        </w:rPr>
        <w:t xml:space="preserve"> de la Resolución ENRE N° 63/2017 para el caso de </w:t>
      </w:r>
      <w:r w:rsidR="00C1212E">
        <w:rPr>
          <w:rFonts w:ascii="Arial" w:hAnsi="Arial"/>
        </w:rPr>
        <w:t>EDENOR</w:t>
      </w:r>
      <w:r w:rsidR="002A672E">
        <w:rPr>
          <w:rFonts w:ascii="Arial" w:hAnsi="Arial"/>
        </w:rPr>
        <w:t xml:space="preserve"> S.A.</w:t>
      </w:r>
      <w:r w:rsidRPr="001356F4">
        <w:rPr>
          <w:rFonts w:ascii="Arial" w:hAnsi="Arial"/>
        </w:rPr>
        <w:t xml:space="preserve"> y la Resolución ENRE N° 64/2017 para </w:t>
      </w:r>
      <w:r w:rsidR="00C1212E">
        <w:rPr>
          <w:rFonts w:ascii="Arial" w:hAnsi="Arial"/>
        </w:rPr>
        <w:t>EDESUR</w:t>
      </w:r>
      <w:r w:rsidR="002A672E">
        <w:rPr>
          <w:rFonts w:ascii="Arial" w:hAnsi="Arial"/>
        </w:rPr>
        <w:t xml:space="preserve"> S.A.</w:t>
      </w:r>
      <w:r w:rsidRPr="001356F4">
        <w:rPr>
          <w:rFonts w:ascii="Arial" w:hAnsi="Arial"/>
        </w:rPr>
        <w:t>, y ponderado de acuerdo al factor del CESMC estableci</w:t>
      </w:r>
      <w:r w:rsidR="00C1212E">
        <w:rPr>
          <w:rFonts w:ascii="Arial" w:hAnsi="Arial"/>
        </w:rPr>
        <w:t>do en el Anexo XVI, punto 2.2.4</w:t>
      </w:r>
      <w:r w:rsidRPr="001356F4">
        <w:rPr>
          <w:rFonts w:ascii="Arial" w:hAnsi="Arial"/>
        </w:rPr>
        <w:t xml:space="preserve"> de las mencionadas resoluciones.</w:t>
      </w:r>
    </w:p>
    <w:p w:rsidR="00E11A4F" w:rsidRDefault="00E11A4F" w:rsidP="007D68CC">
      <w:pPr>
        <w:widowControl w:val="0"/>
        <w:suppressAutoHyphens/>
        <w:spacing w:line="312" w:lineRule="auto"/>
        <w:jc w:val="both"/>
        <w:rPr>
          <w:rFonts w:ascii="Arial" w:hAnsi="Arial"/>
          <w:b/>
        </w:rPr>
      </w:pPr>
    </w:p>
    <w:p w:rsidR="00B72225" w:rsidRDefault="00B72225" w:rsidP="007D68CC">
      <w:pPr>
        <w:widowControl w:val="0"/>
        <w:suppressAutoHyphens/>
        <w:spacing w:line="312" w:lineRule="auto"/>
        <w:jc w:val="both"/>
        <w:rPr>
          <w:rFonts w:ascii="Arial" w:hAnsi="Arial"/>
        </w:rPr>
      </w:pPr>
      <w:r>
        <w:rPr>
          <w:rFonts w:ascii="Arial" w:hAnsi="Arial"/>
          <w:b/>
        </w:rPr>
        <w:t>4 – CÁLCULO DE LA EXTENSIÓN AL “SEMESTRE CONTROLADO” DE LAS BONIFICIONES DE LOS “USUARIOS AFECTADOS” EN DICHO SEMESTRE:</w:t>
      </w:r>
    </w:p>
    <w:p w:rsidR="00B72225" w:rsidRDefault="00B72225" w:rsidP="007D68CC">
      <w:pPr>
        <w:widowControl w:val="0"/>
        <w:suppressAutoHyphens/>
        <w:spacing w:line="312" w:lineRule="auto"/>
        <w:jc w:val="both"/>
        <w:rPr>
          <w:rFonts w:ascii="Arial" w:hAnsi="Arial"/>
        </w:rPr>
      </w:pPr>
    </w:p>
    <w:p w:rsidR="00B72225" w:rsidRDefault="00B72225" w:rsidP="007D68CC">
      <w:pPr>
        <w:widowControl w:val="0"/>
        <w:suppressAutoHyphens/>
        <w:spacing w:line="312" w:lineRule="auto"/>
        <w:jc w:val="both"/>
        <w:rPr>
          <w:rFonts w:ascii="Arial" w:hAnsi="Arial"/>
        </w:rPr>
      </w:pPr>
      <w:r>
        <w:rPr>
          <w:rFonts w:ascii="Arial" w:hAnsi="Arial"/>
        </w:rPr>
        <w:t>Las penalizaciones que corresponde aplicar por los apartamiento</w:t>
      </w:r>
      <w:r w:rsidR="006B209D">
        <w:rPr>
          <w:rFonts w:ascii="Arial" w:hAnsi="Arial"/>
        </w:rPr>
        <w:t>s verificados en la calidad de Producto Técnico (P</w:t>
      </w:r>
      <w:r>
        <w:rPr>
          <w:rFonts w:ascii="Arial" w:hAnsi="Arial"/>
        </w:rPr>
        <w:t xml:space="preserve">erturbaciones) se calculan tomando como base los </w:t>
      </w:r>
      <w:r w:rsidRPr="00DE18EF">
        <w:rPr>
          <w:rFonts w:ascii="Arial" w:hAnsi="Arial"/>
        </w:rPr>
        <w:t xml:space="preserve">parámetros establecidos </w:t>
      </w:r>
      <w:r w:rsidR="006B209D">
        <w:rPr>
          <w:rFonts w:ascii="Arial" w:hAnsi="Arial"/>
        </w:rPr>
        <w:t xml:space="preserve">en </w:t>
      </w:r>
      <w:r w:rsidR="00CC4480" w:rsidRPr="00DE18EF">
        <w:rPr>
          <w:rFonts w:ascii="Arial" w:hAnsi="Arial"/>
        </w:rPr>
        <w:t xml:space="preserve">el punto 3 </w:t>
      </w:r>
      <w:r w:rsidR="00F40623">
        <w:rPr>
          <w:rFonts w:ascii="Arial" w:hAnsi="Arial"/>
        </w:rPr>
        <w:t>del presente Anexo</w:t>
      </w:r>
      <w:r w:rsidRPr="00DE18EF">
        <w:rPr>
          <w:rFonts w:ascii="Arial" w:hAnsi="Arial"/>
        </w:rPr>
        <w:t>, desde el inicio de la medición y hasta tanto la concesionaria acredite la efectiva solución del anómalo nivel de perturbaciones de Armó</w:t>
      </w:r>
      <w:r>
        <w:rPr>
          <w:rFonts w:ascii="Arial" w:hAnsi="Arial"/>
        </w:rPr>
        <w:t>nicas y/o Flicker detectado.</w:t>
      </w:r>
    </w:p>
    <w:p w:rsidR="00B72225" w:rsidRDefault="00B72225" w:rsidP="007D68CC">
      <w:pPr>
        <w:widowControl w:val="0"/>
        <w:suppressAutoHyphens/>
        <w:spacing w:line="312" w:lineRule="auto"/>
        <w:jc w:val="both"/>
        <w:rPr>
          <w:rFonts w:ascii="Arial" w:hAnsi="Arial"/>
        </w:rPr>
      </w:pPr>
      <w:r>
        <w:rPr>
          <w:rFonts w:ascii="Arial" w:hAnsi="Arial"/>
        </w:rPr>
        <w:t xml:space="preserve">Esta extensión se calcula como la proporción simple entre la cantidad total de registros válidos computados en la medición penalizada y la cantidad de registros de 10 minutos comprendidos entre la fecha de inicio de esa medición y el comienzo de un nuevo régimen de penalización -en caso que exista una remedición, que arroje resultados diferentes-, la corrección del problema -finalización de la anomalía o planilla de conformidad aceptada en caso de reclamo puntual-, o la fecha de finalización del semestre. </w:t>
      </w:r>
    </w:p>
    <w:p w:rsidR="00B72225" w:rsidRDefault="00B72225" w:rsidP="007D68CC">
      <w:pPr>
        <w:widowControl w:val="0"/>
        <w:suppressAutoHyphens/>
        <w:spacing w:line="312" w:lineRule="auto"/>
        <w:jc w:val="both"/>
        <w:rPr>
          <w:rFonts w:ascii="Arial" w:hAnsi="Arial"/>
        </w:rPr>
      </w:pPr>
      <w:r>
        <w:rPr>
          <w:rFonts w:ascii="Arial" w:hAnsi="Arial"/>
        </w:rPr>
        <w:t>Por ende, el valor de la bonificación que corresponde aplicar por el apartamiento detectado se calcula de acuerdo a la siguiente fórmula:</w:t>
      </w:r>
    </w:p>
    <w:p w:rsidR="00B72225" w:rsidRDefault="00B72225" w:rsidP="007D68CC">
      <w:pPr>
        <w:widowControl w:val="0"/>
        <w:suppressAutoHyphens/>
        <w:spacing w:line="312" w:lineRule="auto"/>
        <w:jc w:val="both"/>
        <w:rPr>
          <w:rFonts w:ascii="Arial" w:hAnsi="Arial" w:cs="Arial"/>
          <w:b/>
        </w:rPr>
      </w:pPr>
      <m:oMathPara>
        <m:oMathParaPr>
          <m:jc m:val="center"/>
        </m:oMathParaPr>
        <m:oMath>
          <m:r>
            <m:rPr>
              <m:nor/>
            </m:rPr>
            <w:rPr>
              <w:rFonts w:ascii="Arial" w:eastAsiaTheme="minorEastAsia" w:hAnsi="Arial" w:cs="Arial"/>
              <w:b/>
            </w:rPr>
            <m:t>Bonificación ($) = 144</m:t>
          </m:r>
          <m:r>
            <m:rPr>
              <m:nor/>
            </m:rPr>
            <w:rPr>
              <w:rFonts w:ascii="Cambria Math" w:eastAsiaTheme="minorEastAsia" w:hAnsi="Arial" w:cs="Arial"/>
              <w:b/>
            </w:rPr>
            <m:t xml:space="preserve"> </m:t>
          </m:r>
          <m:r>
            <m:rPr>
              <m:nor/>
            </m:rPr>
            <w:rPr>
              <w:rFonts w:ascii="Arial" w:eastAsiaTheme="minorEastAsia" w:hAnsi="Arial" w:cs="Arial"/>
              <w:b/>
            </w:rPr>
            <m:t xml:space="preserve"> *</m:t>
          </m:r>
          <m:r>
            <m:rPr>
              <m:nor/>
            </m:rPr>
            <w:rPr>
              <w:rFonts w:ascii="Cambria Math" w:eastAsiaTheme="minorEastAsia" w:hAnsi="Arial" w:cs="Arial"/>
              <w:b/>
            </w:rPr>
            <m:t xml:space="preserve"> </m:t>
          </m:r>
          <m:nary>
            <m:naryPr>
              <m:chr m:val="∑"/>
              <m:ctrlPr>
                <w:rPr>
                  <w:rFonts w:ascii="Cambria Math" w:eastAsiaTheme="minorEastAsia" w:hAnsi="Cambria Math" w:cs="Arial"/>
                  <w:b/>
                </w:rPr>
              </m:ctrlPr>
            </m:naryPr>
            <m:sub>
              <m:r>
                <m:rPr>
                  <m:nor/>
                </m:rPr>
                <w:rPr>
                  <w:rFonts w:ascii="Arial" w:eastAsiaTheme="minorEastAsia" w:hAnsi="Arial" w:cs="Arial"/>
                  <w:b/>
                </w:rPr>
                <m:t>i=0</m:t>
              </m:r>
            </m:sub>
            <m:sup>
              <m:r>
                <m:rPr>
                  <m:nor/>
                </m:rPr>
                <w:rPr>
                  <w:rFonts w:ascii="Arial" w:eastAsiaTheme="minorEastAsia" w:hAnsi="Arial" w:cs="Arial"/>
                  <w:b/>
                </w:rPr>
                <m:t>i=n</m:t>
              </m:r>
            </m:sup>
            <m:e>
              <m:f>
                <m:fPr>
                  <m:ctrlPr>
                    <w:rPr>
                      <w:rFonts w:ascii="Cambria Math" w:eastAsiaTheme="minorEastAsia" w:hAnsi="Cambria Math" w:cs="Arial"/>
                      <w:b/>
                    </w:rPr>
                  </m:ctrlPr>
                </m:fPr>
                <m:num>
                  <m:sSub>
                    <m:sSubPr>
                      <m:ctrlPr>
                        <w:rPr>
                          <w:rFonts w:ascii="Cambria Math" w:eastAsiaTheme="minorEastAsia" w:hAnsi="Cambria Math" w:cs="Arial"/>
                          <w:b/>
                        </w:rPr>
                      </m:ctrlPr>
                    </m:sSubPr>
                    <m:e>
                      <m:r>
                        <m:rPr>
                          <m:nor/>
                        </m:rPr>
                        <w:rPr>
                          <w:rFonts w:ascii="Cambria Math" w:eastAsiaTheme="minorEastAsia" w:hAnsi="Arial" w:cs="Arial"/>
                          <w:b/>
                        </w:rPr>
                        <m:t xml:space="preserve"> </m:t>
                      </m:r>
                      <m:r>
                        <m:rPr>
                          <m:nor/>
                        </m:rPr>
                        <w:rPr>
                          <w:rFonts w:ascii="Arial" w:eastAsiaTheme="minorEastAsia" w:hAnsi="Arial" w:cs="Arial"/>
                          <w:b/>
                        </w:rPr>
                        <m:t xml:space="preserve">Pen </m:t>
                      </m:r>
                    </m:e>
                    <m:sub>
                      <m:r>
                        <m:rPr>
                          <m:nor/>
                        </m:rPr>
                        <w:rPr>
                          <w:rFonts w:ascii="Arial" w:eastAsiaTheme="minorEastAsia" w:hAnsi="Arial" w:cs="Arial"/>
                          <w:b/>
                        </w:rPr>
                        <m:t>i</m:t>
                      </m:r>
                    </m:sub>
                  </m:sSub>
                </m:num>
                <m:den>
                  <m:sSub>
                    <m:sSubPr>
                      <m:ctrlPr>
                        <w:rPr>
                          <w:rFonts w:ascii="Cambria Math" w:eastAsiaTheme="minorEastAsia" w:hAnsi="Cambria Math" w:cs="Arial"/>
                          <w:b/>
                        </w:rPr>
                      </m:ctrlPr>
                    </m:sSubPr>
                    <m:e>
                      <m:r>
                        <m:rPr>
                          <m:nor/>
                        </m:rPr>
                        <w:rPr>
                          <w:rFonts w:ascii="Arial" w:eastAsiaTheme="minorEastAsia" w:hAnsi="Arial" w:cs="Arial"/>
                          <w:b/>
                        </w:rPr>
                        <m:t xml:space="preserve">TT </m:t>
                      </m:r>
                    </m:e>
                    <m:sub>
                      <m:r>
                        <m:rPr>
                          <m:nor/>
                        </m:rPr>
                        <w:rPr>
                          <w:rFonts w:ascii="Arial" w:eastAsiaTheme="minorEastAsia" w:hAnsi="Arial" w:cs="Arial"/>
                          <w:b/>
                        </w:rPr>
                        <m:t>i</m:t>
                      </m:r>
                    </m:sub>
                  </m:sSub>
                </m:den>
              </m:f>
            </m:e>
          </m:nary>
          <m:r>
            <m:rPr>
              <m:nor/>
            </m:rPr>
            <w:rPr>
              <w:rFonts w:ascii="Arial" w:eastAsiaTheme="minorEastAsia" w:hAnsi="Arial" w:cs="Arial"/>
              <w:b/>
            </w:rPr>
            <m:t xml:space="preserve"> * ( </m:t>
          </m:r>
          <w:proofErr w:type="spellStart"/>
          <m:r>
            <m:rPr>
              <m:nor/>
            </m:rPr>
            <w:rPr>
              <w:rFonts w:ascii="Arial" w:eastAsiaTheme="minorEastAsia" w:hAnsi="Arial" w:cs="Arial"/>
              <w:b/>
            </w:rPr>
            <m:t>Fecha_Fin_Ex</m:t>
          </m:r>
          <w:proofErr w:type="spellEnd"/>
          <m:sSub>
            <m:sSubPr>
              <m:ctrlPr>
                <w:rPr>
                  <w:rFonts w:ascii="Cambria Math" w:eastAsiaTheme="minorEastAsia" w:hAnsi="Cambria Math" w:cs="Arial"/>
                  <w:b/>
                </w:rPr>
              </m:ctrlPr>
            </m:sSubPr>
            <m:e>
              <m:r>
                <m:rPr>
                  <m:nor/>
                </m:rPr>
                <w:rPr>
                  <w:rFonts w:ascii="Arial" w:eastAsiaTheme="minorEastAsia" w:hAnsi="Arial" w:cs="Arial"/>
                  <w:b/>
                </w:rPr>
                <m:t xml:space="preserve">t </m:t>
              </m:r>
            </m:e>
            <m:sub>
              <m:r>
                <m:rPr>
                  <m:nor/>
                </m:rPr>
                <w:rPr>
                  <w:rFonts w:ascii="Arial" w:eastAsiaTheme="minorEastAsia" w:hAnsi="Arial" w:cs="Arial"/>
                  <w:b/>
                </w:rPr>
                <m:t>i</m:t>
              </m:r>
            </m:sub>
          </m:sSub>
          <m:r>
            <m:rPr>
              <m:nor/>
            </m:rPr>
            <w:rPr>
              <w:rFonts w:ascii="Arial" w:eastAsiaTheme="minorEastAsia" w:hAnsi="Arial" w:cs="Arial"/>
              <w:b/>
            </w:rPr>
            <m:t xml:space="preserve"> - </m:t>
          </m:r>
          <w:proofErr w:type="spellStart"/>
          <m:r>
            <m:rPr>
              <m:nor/>
            </m:rPr>
            <w:rPr>
              <w:rFonts w:ascii="Arial" w:eastAsiaTheme="minorEastAsia" w:hAnsi="Arial" w:cs="Arial"/>
              <w:b/>
            </w:rPr>
            <m:t>Fecha_Ini_Ex</m:t>
          </m:r>
          <w:proofErr w:type="spellEnd"/>
          <m:sSub>
            <m:sSubPr>
              <m:ctrlPr>
                <w:rPr>
                  <w:rFonts w:ascii="Cambria Math" w:eastAsiaTheme="minorEastAsia" w:hAnsi="Cambria Math" w:cs="Arial"/>
                  <w:b/>
                </w:rPr>
              </m:ctrlPr>
            </m:sSubPr>
            <m:e>
              <m:r>
                <m:rPr>
                  <m:nor/>
                </m:rPr>
                <w:rPr>
                  <w:rFonts w:ascii="Arial" w:eastAsiaTheme="minorEastAsia" w:hAnsi="Arial" w:cs="Arial"/>
                  <w:b/>
                </w:rPr>
                <m:t xml:space="preserve">t </m:t>
              </m:r>
            </m:e>
            <m:sub>
              <m:r>
                <m:rPr>
                  <m:nor/>
                </m:rPr>
                <w:rPr>
                  <w:rFonts w:ascii="Arial" w:eastAsiaTheme="minorEastAsia" w:hAnsi="Arial" w:cs="Arial"/>
                  <w:b/>
                </w:rPr>
                <m:t xml:space="preserve">i </m:t>
              </m:r>
            </m:sub>
          </m:sSub>
          <m:r>
            <m:rPr>
              <m:nor/>
            </m:rPr>
            <w:rPr>
              <w:rFonts w:ascii="Arial" w:eastAsiaTheme="minorEastAsia" w:hAnsi="Arial" w:cs="Arial"/>
              <w:b/>
            </w:rPr>
            <m:t xml:space="preserve">) </m:t>
          </m:r>
        </m:oMath>
      </m:oMathPara>
    </w:p>
    <w:p w:rsidR="00B72225" w:rsidRDefault="00B72225" w:rsidP="007D68CC">
      <w:pPr>
        <w:widowControl w:val="0"/>
        <w:suppressAutoHyphens/>
        <w:spacing w:line="312" w:lineRule="auto"/>
        <w:jc w:val="both"/>
        <w:rPr>
          <w:rFonts w:ascii="Arial" w:hAnsi="Arial"/>
        </w:rPr>
      </w:pPr>
      <w:r>
        <w:rPr>
          <w:rFonts w:ascii="Arial" w:hAnsi="Arial"/>
        </w:rPr>
        <w:t>Donde:</w:t>
      </w:r>
    </w:p>
    <w:tbl>
      <w:tblPr>
        <w:tblW w:w="0" w:type="auto"/>
        <w:tblLayout w:type="fixed"/>
        <w:tblCellMar>
          <w:left w:w="70" w:type="dxa"/>
          <w:right w:w="70" w:type="dxa"/>
        </w:tblCellMar>
        <w:tblLook w:val="04A0" w:firstRow="1" w:lastRow="0" w:firstColumn="1" w:lastColumn="0" w:noHBand="0" w:noVBand="1"/>
      </w:tblPr>
      <w:tblGrid>
        <w:gridCol w:w="2480"/>
        <w:gridCol w:w="6448"/>
      </w:tblGrid>
      <w:tr w:rsidR="00B72225" w:rsidTr="00B72225">
        <w:tc>
          <w:tcPr>
            <w:tcW w:w="2480" w:type="dxa"/>
            <w:hideMark/>
          </w:tcPr>
          <w:p w:rsidR="00B72225" w:rsidRDefault="00B72225" w:rsidP="007D68CC">
            <w:pPr>
              <w:widowControl w:val="0"/>
              <w:suppressAutoHyphens/>
              <w:spacing w:line="312" w:lineRule="auto"/>
              <w:jc w:val="both"/>
              <w:rPr>
                <w:rFonts w:ascii="Arial" w:hAnsi="Arial"/>
              </w:rPr>
            </w:pPr>
            <w:r>
              <w:rPr>
                <w:rFonts w:ascii="Arial" w:hAnsi="Arial"/>
              </w:rPr>
              <w:t xml:space="preserve">i: </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Corresponde al número de orden cronológico de cada medición, asignándose “0” a la medición original, “1” a la primer remedición y sucesivamente hasta alcanzar el valor “n” correspondiente la última remedición del punto en el semestre de control.</w:t>
            </w:r>
          </w:p>
        </w:tc>
      </w:tr>
      <w:tr w:rsidR="00B72225" w:rsidTr="00B72225">
        <w:tc>
          <w:tcPr>
            <w:tcW w:w="2480" w:type="dxa"/>
            <w:hideMark/>
          </w:tcPr>
          <w:p w:rsidR="00B72225" w:rsidRDefault="00B72225" w:rsidP="007D68CC">
            <w:pPr>
              <w:widowControl w:val="0"/>
              <w:suppressAutoHyphens/>
              <w:spacing w:line="312" w:lineRule="auto"/>
              <w:jc w:val="both"/>
              <w:rPr>
                <w:rFonts w:ascii="Arial" w:hAnsi="Arial"/>
              </w:rPr>
            </w:pPr>
            <w:r>
              <w:rPr>
                <w:rFonts w:ascii="Arial" w:hAnsi="Arial"/>
              </w:rPr>
              <w:t xml:space="preserve">Pen </w:t>
            </w:r>
            <w:r>
              <w:rPr>
                <w:rFonts w:ascii="Arial" w:hAnsi="Arial"/>
                <w:sz w:val="16"/>
                <w:szCs w:val="16"/>
                <w:vertAlign w:val="subscript"/>
              </w:rPr>
              <w:t xml:space="preserve">i </w:t>
            </w:r>
            <w:r>
              <w:rPr>
                <w:rFonts w:ascii="Arial" w:hAnsi="Arial"/>
              </w:rPr>
              <w:t>:</w:t>
            </w:r>
            <w:r>
              <w:rPr>
                <w:rFonts w:ascii="Arial" w:hAnsi="Arial"/>
                <w:sz w:val="16"/>
                <w:szCs w:val="16"/>
                <w:vertAlign w:val="subscript"/>
              </w:rPr>
              <w:t xml:space="preserve">     </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Es el monto de la penalización ($), que surge del análisis del archivo informático de la medición “i”, según la metodología establecida en la resolución 184/2000.</w:t>
            </w:r>
          </w:p>
        </w:tc>
      </w:tr>
      <w:tr w:rsidR="00B72225" w:rsidTr="00B72225">
        <w:tc>
          <w:tcPr>
            <w:tcW w:w="2480" w:type="dxa"/>
            <w:hideMark/>
          </w:tcPr>
          <w:p w:rsidR="00B72225" w:rsidRDefault="00B72225" w:rsidP="007D68CC">
            <w:pPr>
              <w:widowControl w:val="0"/>
              <w:suppressAutoHyphens/>
              <w:spacing w:line="312" w:lineRule="auto"/>
              <w:jc w:val="both"/>
              <w:rPr>
                <w:rFonts w:ascii="Arial" w:hAnsi="Arial"/>
              </w:rPr>
            </w:pPr>
            <w:r>
              <w:rPr>
                <w:rFonts w:ascii="Arial" w:hAnsi="Arial"/>
              </w:rPr>
              <w:t xml:space="preserve">TT </w:t>
            </w:r>
            <w:r>
              <w:rPr>
                <w:rFonts w:ascii="Arial" w:hAnsi="Arial"/>
                <w:vertAlign w:val="subscript"/>
              </w:rPr>
              <w:t>i</w:t>
            </w:r>
            <w:r>
              <w:rPr>
                <w:rFonts w:ascii="Arial" w:hAnsi="Arial"/>
              </w:rPr>
              <w:t>:</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 xml:space="preserve">Es el tiempo total de la medición “i”, en períodos de 10 minutos (período/día). Se considerarán solamente los períodos válidos, de </w:t>
            </w:r>
            <w:r>
              <w:rPr>
                <w:rFonts w:ascii="Arial" w:hAnsi="Arial"/>
              </w:rPr>
              <w:lastRenderedPageBreak/>
              <w:t>acuerdo a lo indicado en el Anexo a la Resolución ENRE N° 184/2000.</w:t>
            </w:r>
          </w:p>
        </w:tc>
      </w:tr>
      <w:tr w:rsidR="00B72225" w:rsidTr="00B72225">
        <w:tc>
          <w:tcPr>
            <w:tcW w:w="2480" w:type="dxa"/>
            <w:hideMark/>
          </w:tcPr>
          <w:p w:rsidR="00B72225" w:rsidRDefault="00B72225" w:rsidP="007D68CC">
            <w:pPr>
              <w:widowControl w:val="0"/>
              <w:suppressAutoHyphens/>
              <w:spacing w:line="312" w:lineRule="auto"/>
              <w:jc w:val="both"/>
              <w:rPr>
                <w:rFonts w:ascii="Arial" w:hAnsi="Arial"/>
              </w:rPr>
            </w:pPr>
            <w:proofErr w:type="spellStart"/>
            <w:r>
              <w:rPr>
                <w:rFonts w:ascii="Arial" w:hAnsi="Arial"/>
              </w:rPr>
              <w:lastRenderedPageBreak/>
              <w:t>Fecha_Ini_Ext</w:t>
            </w:r>
            <w:proofErr w:type="spellEnd"/>
            <w:r>
              <w:rPr>
                <w:rFonts w:ascii="Arial" w:hAnsi="Arial"/>
              </w:rPr>
              <w:t xml:space="preserve"> </w:t>
            </w:r>
            <w:r>
              <w:rPr>
                <w:rFonts w:ascii="Arial" w:hAnsi="Arial"/>
                <w:vertAlign w:val="subscript"/>
              </w:rPr>
              <w:t>i</w:t>
            </w:r>
            <w:r>
              <w:rPr>
                <w:rFonts w:ascii="Arial" w:hAnsi="Arial"/>
              </w:rPr>
              <w:t>:</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Es la fecha de inicio de la medición “i”.</w:t>
            </w:r>
          </w:p>
        </w:tc>
      </w:tr>
      <w:tr w:rsidR="00B72225" w:rsidTr="00B72225">
        <w:tc>
          <w:tcPr>
            <w:tcW w:w="2480" w:type="dxa"/>
            <w:hideMark/>
          </w:tcPr>
          <w:p w:rsidR="00B72225" w:rsidRDefault="00B72225" w:rsidP="007D68CC">
            <w:pPr>
              <w:widowControl w:val="0"/>
              <w:suppressAutoHyphens/>
              <w:spacing w:line="312" w:lineRule="auto"/>
              <w:jc w:val="both"/>
              <w:rPr>
                <w:rFonts w:ascii="Arial" w:hAnsi="Arial"/>
              </w:rPr>
            </w:pPr>
            <w:proofErr w:type="spellStart"/>
            <w:r>
              <w:rPr>
                <w:rFonts w:ascii="Arial" w:hAnsi="Arial"/>
              </w:rPr>
              <w:t>Fecha_Fin_Ext</w:t>
            </w:r>
            <w:proofErr w:type="spellEnd"/>
            <w:r>
              <w:rPr>
                <w:rFonts w:ascii="Arial" w:hAnsi="Arial"/>
              </w:rPr>
              <w:t xml:space="preserve"> </w:t>
            </w:r>
            <w:r>
              <w:rPr>
                <w:rFonts w:ascii="Arial" w:hAnsi="Arial"/>
                <w:vertAlign w:val="subscript"/>
              </w:rPr>
              <w:t>i</w:t>
            </w:r>
            <w:r>
              <w:rPr>
                <w:rFonts w:ascii="Arial" w:hAnsi="Arial"/>
              </w:rPr>
              <w:t>:</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Es la fecha de finalización del escalón o tramo de penalización correspondiente a la medición “i”, que coincide con el inicio de la siguiente medición (“i+1”) o bien con la fecha de finalización del “semestre controlado”.</w:t>
            </w:r>
          </w:p>
        </w:tc>
      </w:tr>
      <w:tr w:rsidR="00B72225" w:rsidTr="00B72225">
        <w:tc>
          <w:tcPr>
            <w:tcW w:w="2480" w:type="dxa"/>
            <w:hideMark/>
          </w:tcPr>
          <w:p w:rsidR="00B72225" w:rsidRDefault="00B72225" w:rsidP="007D68CC">
            <w:pPr>
              <w:widowControl w:val="0"/>
              <w:suppressAutoHyphens/>
              <w:spacing w:line="312" w:lineRule="auto"/>
              <w:jc w:val="both"/>
              <w:rPr>
                <w:rFonts w:ascii="Arial" w:hAnsi="Arial"/>
              </w:rPr>
            </w:pPr>
            <w:r>
              <w:rPr>
                <w:rFonts w:ascii="Arial" w:hAnsi="Arial"/>
              </w:rPr>
              <w:t>144:</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Es la cantidad de períodos de 10 minutos que contiene un día (período/día).</w:t>
            </w:r>
          </w:p>
        </w:tc>
      </w:tr>
    </w:tbl>
    <w:p w:rsidR="00B72225" w:rsidRDefault="00B72225" w:rsidP="007D68CC">
      <w:pPr>
        <w:widowControl w:val="0"/>
        <w:suppressAutoHyphens/>
        <w:spacing w:line="312" w:lineRule="auto"/>
        <w:jc w:val="both"/>
        <w:rPr>
          <w:rFonts w:ascii="Arial" w:hAnsi="Arial"/>
        </w:rPr>
      </w:pPr>
      <w:r>
        <w:rPr>
          <w:rFonts w:ascii="Arial" w:hAnsi="Arial"/>
        </w:rPr>
        <w:t>Para el caso de una medición penalizada sobre un CT (centro de transformación MT/BT), la bonificación correspondiente a cada uno de los usuarios vinculados a ese CT resultará de distribuir la bonificación calculada del centro de transformación considerando la energía anual facturada de cada uno de esos usuarios afectados respecto a la energía total de ese CT, resultando:</w:t>
      </w:r>
    </w:p>
    <w:p w:rsidR="00B72225" w:rsidRDefault="00B72225" w:rsidP="007D68CC">
      <w:pPr>
        <w:widowControl w:val="0"/>
        <w:suppressAutoHyphens/>
        <w:spacing w:line="312" w:lineRule="auto"/>
        <w:jc w:val="center"/>
        <w:rPr>
          <w:rFonts w:ascii="Arial" w:eastAsiaTheme="minorEastAsia" w:hAnsi="Arial" w:cs="Arial"/>
          <w:b/>
        </w:rPr>
      </w:pPr>
      <w:proofErr w:type="spellStart"/>
      <m:oMathPara>
        <m:oMath>
          <m:r>
            <m:rPr>
              <m:nor/>
            </m:rPr>
            <w:rPr>
              <w:rFonts w:ascii="Arial" w:eastAsiaTheme="minorEastAsia" w:hAnsi="Arial" w:cs="Arial"/>
              <w:b/>
            </w:rPr>
            <m:t>Bonificació</m:t>
          </m:r>
          <w:proofErr w:type="spellEnd"/>
          <m:sSub>
            <m:sSubPr>
              <m:ctrlPr>
                <w:rPr>
                  <w:rFonts w:ascii="Cambria Math" w:hAnsi="Cambria Math" w:cs="Arial"/>
                  <w:b/>
                </w:rPr>
              </m:ctrlPr>
            </m:sSubPr>
            <m:e>
              <m:r>
                <m:rPr>
                  <m:nor/>
                </m:rPr>
                <w:rPr>
                  <w:rFonts w:ascii="Arial" w:eastAsiaTheme="minorEastAsia" w:hAnsi="Arial" w:cs="Arial"/>
                  <w:b/>
                </w:rPr>
                <m:t xml:space="preserve">n </m:t>
              </m:r>
            </m:e>
            <m:sub>
              <w:proofErr w:type="spellStart"/>
              <m:r>
                <m:rPr>
                  <m:nor/>
                </m:rPr>
                <w:rPr>
                  <w:rFonts w:ascii="Arial" w:eastAsiaTheme="minorEastAsia" w:hAnsi="Arial" w:cs="Arial"/>
                  <w:b/>
                </w:rPr>
                <m:t>USU</m:t>
              </m:r>
              <w:proofErr w:type="spellEnd"/>
            </m:sub>
          </m:sSub>
          <m:r>
            <m:rPr>
              <m:nor/>
            </m:rPr>
            <w:rPr>
              <w:rFonts w:ascii="Arial" w:eastAsiaTheme="minorEastAsia" w:hAnsi="Arial" w:cs="Arial"/>
              <w:b/>
            </w:rPr>
            <m:t xml:space="preserve"> ($) = </m:t>
          </m:r>
          <w:proofErr w:type="spellStart"/>
          <m:r>
            <m:rPr>
              <m:nor/>
            </m:rPr>
            <w:rPr>
              <w:rFonts w:ascii="Arial" w:eastAsiaTheme="minorEastAsia" w:hAnsi="Arial" w:cs="Arial"/>
              <w:b/>
            </w:rPr>
            <m:t>Bonificació</m:t>
          </m:r>
          <w:proofErr w:type="spellEnd"/>
          <m:sSub>
            <m:sSubPr>
              <m:ctrlPr>
                <w:rPr>
                  <w:rFonts w:ascii="Cambria Math" w:hAnsi="Cambria Math" w:cs="Arial"/>
                  <w:b/>
                </w:rPr>
              </m:ctrlPr>
            </m:sSubPr>
            <m:e>
              <m:r>
                <m:rPr>
                  <m:nor/>
                </m:rPr>
                <w:rPr>
                  <w:rFonts w:ascii="Arial" w:eastAsiaTheme="minorEastAsia" w:hAnsi="Arial" w:cs="Arial"/>
                  <w:b/>
                </w:rPr>
                <m:t xml:space="preserve">n </m:t>
              </m:r>
            </m:e>
            <m:sub>
              <w:proofErr w:type="spellStart"/>
              <m:r>
                <m:rPr>
                  <m:nor/>
                </m:rPr>
                <w:rPr>
                  <w:rFonts w:ascii="Arial" w:eastAsiaTheme="minorEastAsia" w:hAnsi="Arial" w:cs="Arial"/>
                  <w:b/>
                </w:rPr>
                <m:t>CT</m:t>
              </m:r>
              <w:proofErr w:type="spellEnd"/>
            </m:sub>
          </m:sSub>
          <m:r>
            <m:rPr>
              <m:nor/>
            </m:rPr>
            <w:rPr>
              <w:rFonts w:ascii="Arial" w:eastAsiaTheme="minorEastAsia" w:hAnsi="Arial" w:cs="Arial"/>
              <w:b/>
            </w:rPr>
            <m:t xml:space="preserve">* </m:t>
          </m:r>
          <m:f>
            <m:fPr>
              <m:ctrlPr>
                <w:rPr>
                  <w:rFonts w:ascii="Cambria Math" w:hAnsi="Cambria Math" w:cs="Arial"/>
                  <w:b/>
                </w:rPr>
              </m:ctrlPr>
            </m:fPr>
            <m:num>
              <m:r>
                <m:rPr>
                  <m:nor/>
                </m:rPr>
                <w:rPr>
                  <w:rFonts w:ascii="Arial" w:eastAsiaTheme="minorEastAsia" w:hAnsi="Arial" w:cs="Arial"/>
                  <w:b/>
                </w:rPr>
                <m:t>Co_A</m:t>
              </m:r>
              <m:sSub>
                <m:sSubPr>
                  <m:ctrlPr>
                    <w:rPr>
                      <w:rFonts w:ascii="Cambria Math" w:hAnsi="Cambria Math" w:cs="Arial"/>
                      <w:b/>
                    </w:rPr>
                  </m:ctrlPr>
                </m:sSubPr>
                <m:e>
                  <m:r>
                    <m:rPr>
                      <m:nor/>
                    </m:rPr>
                    <w:rPr>
                      <w:rFonts w:ascii="Arial" w:eastAsiaTheme="minorEastAsia" w:hAnsi="Arial" w:cs="Arial"/>
                      <w:b/>
                    </w:rPr>
                    <m:t>nual</m:t>
                  </m:r>
                </m:e>
                <m:sub>
                  <m:r>
                    <m:rPr>
                      <m:nor/>
                    </m:rPr>
                    <w:rPr>
                      <w:rFonts w:ascii="Arial" w:eastAsiaTheme="minorEastAsia" w:hAnsi="Arial" w:cs="Arial"/>
                      <w:b/>
                    </w:rPr>
                    <m:t xml:space="preserve"> USU</m:t>
                  </m:r>
                </m:sub>
              </m:sSub>
            </m:num>
            <m:den>
              <m:r>
                <m:rPr>
                  <m:nor/>
                </m:rPr>
                <w:rPr>
                  <w:rFonts w:ascii="Arial" w:eastAsiaTheme="minorEastAsia" w:hAnsi="Arial" w:cs="Arial"/>
                  <w:b/>
                </w:rPr>
                <m:t>Co_A</m:t>
              </m:r>
              <m:sSub>
                <m:sSubPr>
                  <m:ctrlPr>
                    <w:rPr>
                      <w:rFonts w:ascii="Cambria Math" w:hAnsi="Cambria Math" w:cs="Arial"/>
                      <w:b/>
                    </w:rPr>
                  </m:ctrlPr>
                </m:sSubPr>
                <m:e>
                  <m:r>
                    <m:rPr>
                      <m:nor/>
                    </m:rPr>
                    <w:rPr>
                      <w:rFonts w:ascii="Arial" w:eastAsiaTheme="minorEastAsia" w:hAnsi="Arial" w:cs="Arial"/>
                      <w:b/>
                    </w:rPr>
                    <m:t>nual</m:t>
                  </m:r>
                </m:e>
                <m:sub>
                  <m:r>
                    <m:rPr>
                      <m:nor/>
                    </m:rPr>
                    <w:rPr>
                      <w:rFonts w:ascii="Arial" w:eastAsiaTheme="minorEastAsia" w:hAnsi="Arial" w:cs="Arial"/>
                      <w:b/>
                    </w:rPr>
                    <m:t xml:space="preserve"> CT</m:t>
                  </m:r>
                </m:sub>
              </m:sSub>
            </m:den>
          </m:f>
        </m:oMath>
      </m:oMathPara>
    </w:p>
    <w:p w:rsidR="00B72225" w:rsidRDefault="00B72225" w:rsidP="007D68CC">
      <w:pPr>
        <w:widowControl w:val="0"/>
        <w:suppressAutoHyphens/>
        <w:spacing w:line="312" w:lineRule="auto"/>
        <w:jc w:val="both"/>
        <w:rPr>
          <w:rFonts w:ascii="Arial" w:hAnsi="Arial"/>
        </w:rPr>
      </w:pPr>
      <w:r>
        <w:rPr>
          <w:rFonts w:ascii="Arial" w:hAnsi="Arial"/>
        </w:rPr>
        <w:t>Donde:</w:t>
      </w:r>
    </w:p>
    <w:tbl>
      <w:tblPr>
        <w:tblW w:w="0" w:type="auto"/>
        <w:tblLayout w:type="fixed"/>
        <w:tblCellMar>
          <w:left w:w="70" w:type="dxa"/>
          <w:right w:w="70" w:type="dxa"/>
        </w:tblCellMar>
        <w:tblLook w:val="04A0" w:firstRow="1" w:lastRow="0" w:firstColumn="1" w:lastColumn="0" w:noHBand="0" w:noVBand="1"/>
      </w:tblPr>
      <w:tblGrid>
        <w:gridCol w:w="2480"/>
        <w:gridCol w:w="6448"/>
      </w:tblGrid>
      <w:tr w:rsidR="00B72225" w:rsidTr="00B72225">
        <w:tc>
          <w:tcPr>
            <w:tcW w:w="2480" w:type="dxa"/>
            <w:hideMark/>
          </w:tcPr>
          <w:p w:rsidR="00B72225" w:rsidRDefault="00B72225" w:rsidP="007D68CC">
            <w:pPr>
              <w:widowControl w:val="0"/>
              <w:suppressAutoHyphens/>
              <w:spacing w:line="312" w:lineRule="auto"/>
              <w:jc w:val="both"/>
              <w:rPr>
                <w:rFonts w:ascii="Arial" w:hAnsi="Arial"/>
              </w:rPr>
            </w:pPr>
            <w:r>
              <w:rPr>
                <w:rFonts w:ascii="Arial" w:hAnsi="Arial"/>
              </w:rPr>
              <w:t xml:space="preserve">Bonificación </w:t>
            </w:r>
            <w:r>
              <w:rPr>
                <w:rFonts w:ascii="Arial" w:hAnsi="Arial"/>
                <w:sz w:val="18"/>
                <w:vertAlign w:val="subscript"/>
              </w:rPr>
              <w:t>CT</w:t>
            </w:r>
            <w:r>
              <w:rPr>
                <w:rFonts w:ascii="Arial" w:hAnsi="Arial"/>
              </w:rPr>
              <w:t>:</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Es la bonificación resultante de los apartamientos a los niveles de perturbaciones en la tensión ($).</w:t>
            </w:r>
          </w:p>
        </w:tc>
      </w:tr>
      <w:tr w:rsidR="00B72225" w:rsidTr="00B72225">
        <w:tc>
          <w:tcPr>
            <w:tcW w:w="2480" w:type="dxa"/>
            <w:hideMark/>
          </w:tcPr>
          <w:p w:rsidR="00B72225" w:rsidRDefault="00B72225" w:rsidP="007D68CC">
            <w:pPr>
              <w:widowControl w:val="0"/>
              <w:suppressAutoHyphens/>
              <w:spacing w:line="312" w:lineRule="auto"/>
              <w:jc w:val="both"/>
              <w:rPr>
                <w:rFonts w:ascii="Arial" w:hAnsi="Arial"/>
              </w:rPr>
            </w:pPr>
            <w:r>
              <w:rPr>
                <w:rFonts w:ascii="Arial" w:hAnsi="Arial"/>
              </w:rPr>
              <w:t xml:space="preserve">Bonificación </w:t>
            </w:r>
            <w:r>
              <w:rPr>
                <w:rFonts w:ascii="Arial" w:hAnsi="Arial"/>
                <w:sz w:val="18"/>
                <w:vertAlign w:val="subscript"/>
              </w:rPr>
              <w:t>USU</w:t>
            </w:r>
            <w:r>
              <w:rPr>
                <w:rFonts w:ascii="Arial" w:hAnsi="Arial"/>
              </w:rPr>
              <w:t>:</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Es la bonificación resultante de los apartamientos a los niveles de perturbaciones en la tensión de un determinado usuario ($).</w:t>
            </w:r>
          </w:p>
        </w:tc>
      </w:tr>
      <w:tr w:rsidR="00B72225" w:rsidTr="00B72225">
        <w:tc>
          <w:tcPr>
            <w:tcW w:w="2480" w:type="dxa"/>
            <w:hideMark/>
          </w:tcPr>
          <w:p w:rsidR="00B72225" w:rsidRDefault="00B72225" w:rsidP="007D68CC">
            <w:pPr>
              <w:widowControl w:val="0"/>
              <w:suppressAutoHyphens/>
              <w:spacing w:line="312" w:lineRule="auto"/>
              <w:jc w:val="both"/>
              <w:rPr>
                <w:rFonts w:ascii="Arial" w:hAnsi="Arial"/>
              </w:rPr>
            </w:pPr>
            <w:proofErr w:type="spellStart"/>
            <w:r>
              <w:rPr>
                <w:rFonts w:ascii="Arial" w:hAnsi="Arial"/>
              </w:rPr>
              <w:t>Co_Anual</w:t>
            </w:r>
            <w:proofErr w:type="spellEnd"/>
            <w:r>
              <w:rPr>
                <w:rFonts w:ascii="Arial" w:hAnsi="Arial"/>
              </w:rPr>
              <w:t xml:space="preserve"> </w:t>
            </w:r>
            <w:proofErr w:type="spellStart"/>
            <w:r>
              <w:rPr>
                <w:rFonts w:ascii="Arial" w:hAnsi="Arial"/>
                <w:sz w:val="18"/>
                <w:vertAlign w:val="subscript"/>
              </w:rPr>
              <w:t>CT</w:t>
            </w:r>
            <w:proofErr w:type="spellEnd"/>
            <w:r>
              <w:rPr>
                <w:rFonts w:ascii="Arial" w:hAnsi="Arial"/>
              </w:rPr>
              <w:t>:</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 xml:space="preserve">Es la sumatoria de la energía anual facturada de todos los usuarios vinculados al CT [kWh] según Tabla N° 10 </w:t>
            </w:r>
            <w:r w:rsidR="006B209D">
              <w:rPr>
                <w:rFonts w:ascii="Arial" w:hAnsi="Arial"/>
              </w:rPr>
              <w:t>del Anexo a la</w:t>
            </w:r>
            <w:r>
              <w:rPr>
                <w:rFonts w:ascii="Arial" w:hAnsi="Arial"/>
              </w:rPr>
              <w:t xml:space="preserve"> Resolución ENRE N° 002/1998.</w:t>
            </w:r>
          </w:p>
        </w:tc>
      </w:tr>
      <w:tr w:rsidR="00B72225" w:rsidTr="00B72225">
        <w:tc>
          <w:tcPr>
            <w:tcW w:w="2480" w:type="dxa"/>
            <w:hideMark/>
          </w:tcPr>
          <w:p w:rsidR="00B72225" w:rsidRDefault="00B72225" w:rsidP="007D68CC">
            <w:pPr>
              <w:widowControl w:val="0"/>
              <w:suppressAutoHyphens/>
              <w:spacing w:line="312" w:lineRule="auto"/>
              <w:jc w:val="both"/>
              <w:rPr>
                <w:rFonts w:ascii="Arial" w:hAnsi="Arial"/>
              </w:rPr>
            </w:pPr>
            <w:proofErr w:type="spellStart"/>
            <w:r>
              <w:rPr>
                <w:rFonts w:ascii="Arial" w:hAnsi="Arial"/>
              </w:rPr>
              <w:t>Co_Anual</w:t>
            </w:r>
            <w:proofErr w:type="spellEnd"/>
            <w:r>
              <w:rPr>
                <w:rFonts w:ascii="Arial" w:hAnsi="Arial"/>
              </w:rPr>
              <w:t xml:space="preserve"> </w:t>
            </w:r>
            <w:proofErr w:type="spellStart"/>
            <w:r>
              <w:rPr>
                <w:rFonts w:ascii="Arial" w:hAnsi="Arial"/>
                <w:sz w:val="18"/>
                <w:vertAlign w:val="subscript"/>
              </w:rPr>
              <w:t>USU</w:t>
            </w:r>
            <w:proofErr w:type="spellEnd"/>
            <w:r>
              <w:rPr>
                <w:rFonts w:ascii="Arial" w:hAnsi="Arial"/>
              </w:rPr>
              <w:t>:</w:t>
            </w:r>
          </w:p>
        </w:tc>
        <w:tc>
          <w:tcPr>
            <w:tcW w:w="6448" w:type="dxa"/>
            <w:hideMark/>
          </w:tcPr>
          <w:p w:rsidR="00B72225" w:rsidRDefault="00B72225" w:rsidP="007D68CC">
            <w:pPr>
              <w:widowControl w:val="0"/>
              <w:suppressAutoHyphens/>
              <w:spacing w:line="312" w:lineRule="auto"/>
              <w:jc w:val="both"/>
              <w:rPr>
                <w:rFonts w:ascii="Arial" w:hAnsi="Arial"/>
              </w:rPr>
            </w:pPr>
            <w:r>
              <w:rPr>
                <w:rFonts w:ascii="Arial" w:hAnsi="Arial"/>
              </w:rPr>
              <w:t>Es la energía anual facturada de cada usuario [kWh] según Tabla N° 10 de la Resolución ENRE N° 002/1998.</w:t>
            </w:r>
          </w:p>
        </w:tc>
      </w:tr>
      <w:tr w:rsidR="00B72225" w:rsidTr="00B72225">
        <w:tc>
          <w:tcPr>
            <w:tcW w:w="2480" w:type="dxa"/>
          </w:tcPr>
          <w:p w:rsidR="00B72225" w:rsidRDefault="00B72225" w:rsidP="007D68CC">
            <w:pPr>
              <w:widowControl w:val="0"/>
              <w:suppressAutoHyphens/>
              <w:spacing w:line="312" w:lineRule="auto"/>
              <w:jc w:val="both"/>
              <w:rPr>
                <w:rFonts w:ascii="Arial" w:hAnsi="Arial"/>
                <w:strike/>
              </w:rPr>
            </w:pPr>
          </w:p>
        </w:tc>
        <w:tc>
          <w:tcPr>
            <w:tcW w:w="6448" w:type="dxa"/>
          </w:tcPr>
          <w:p w:rsidR="00B72225" w:rsidRDefault="00B72225" w:rsidP="007D68CC">
            <w:pPr>
              <w:widowControl w:val="0"/>
              <w:suppressAutoHyphens/>
              <w:spacing w:line="312" w:lineRule="auto"/>
              <w:jc w:val="both"/>
              <w:rPr>
                <w:rFonts w:ascii="Arial" w:hAnsi="Arial"/>
                <w:strike/>
              </w:rPr>
            </w:pPr>
          </w:p>
        </w:tc>
      </w:tr>
    </w:tbl>
    <w:p w:rsidR="00B72225" w:rsidRDefault="00B72225" w:rsidP="007D68CC">
      <w:pPr>
        <w:widowControl w:val="0"/>
        <w:suppressAutoHyphens/>
        <w:spacing w:line="312" w:lineRule="auto"/>
        <w:jc w:val="both"/>
        <w:rPr>
          <w:rFonts w:ascii="Arial" w:hAnsi="Arial"/>
        </w:rPr>
      </w:pPr>
      <w:r>
        <w:rPr>
          <w:rFonts w:ascii="Arial" w:hAnsi="Arial"/>
        </w:rPr>
        <w:t>Las sucesivas remediciones pueden determinar la existencia de uno o más escalones de penalizaciones y, por lo tanto, la penalización total se calculará sumando los distintos importes de todos éstos.</w:t>
      </w:r>
    </w:p>
    <w:p w:rsidR="00891856" w:rsidRDefault="00891856" w:rsidP="007D68CC">
      <w:pPr>
        <w:widowControl w:val="0"/>
        <w:suppressAutoHyphens/>
        <w:spacing w:line="312" w:lineRule="auto"/>
        <w:jc w:val="both"/>
        <w:rPr>
          <w:rFonts w:ascii="Arial" w:hAnsi="Arial"/>
        </w:rPr>
      </w:pPr>
    </w:p>
    <w:p w:rsidR="00B72225" w:rsidRDefault="00B72225" w:rsidP="007D68CC">
      <w:pPr>
        <w:widowControl w:val="0"/>
        <w:suppressAutoHyphens/>
        <w:spacing w:line="312" w:lineRule="auto"/>
        <w:jc w:val="both"/>
        <w:rPr>
          <w:rFonts w:ascii="Arial" w:hAnsi="Arial"/>
          <w:b/>
        </w:rPr>
      </w:pPr>
      <w:r>
        <w:rPr>
          <w:rFonts w:ascii="Arial" w:hAnsi="Arial"/>
          <w:b/>
        </w:rPr>
        <w:t>5 – CÁLCULO DE LA EXTENSIÓN AL “SEMESTRE CONTROLADO” DE LAS BONIFICACIONES DE LOS “USUARIOS AFECTADOS” EN SEMESTRES ANTERIORES:</w:t>
      </w:r>
    </w:p>
    <w:p w:rsidR="00B72225" w:rsidRDefault="00B72225" w:rsidP="007D68CC">
      <w:pPr>
        <w:widowControl w:val="0"/>
        <w:suppressAutoHyphens/>
        <w:spacing w:line="312" w:lineRule="auto"/>
        <w:jc w:val="both"/>
        <w:rPr>
          <w:rFonts w:ascii="Arial" w:hAnsi="Arial"/>
        </w:rPr>
      </w:pPr>
    </w:p>
    <w:p w:rsidR="002B54CC" w:rsidRDefault="00B72225" w:rsidP="007D68CC">
      <w:pPr>
        <w:widowControl w:val="0"/>
        <w:suppressAutoHyphens/>
        <w:spacing w:line="312" w:lineRule="auto"/>
        <w:jc w:val="both"/>
        <w:rPr>
          <w:rFonts w:ascii="Arial" w:hAnsi="Arial"/>
        </w:rPr>
      </w:pPr>
      <w:r>
        <w:rPr>
          <w:rFonts w:ascii="Arial" w:hAnsi="Arial"/>
        </w:rPr>
        <w:t>En forma similar a la desarrollada en el punto 4., las distribuidoras deberán realizar la extensión dentro del “semestre controlado” de las bonificaciones de las mediciones efectuadas en los semestres anteriores.</w:t>
      </w:r>
    </w:p>
    <w:p w:rsidR="00B72225" w:rsidRDefault="00B72225" w:rsidP="007D68CC">
      <w:pPr>
        <w:widowControl w:val="0"/>
        <w:suppressAutoHyphens/>
        <w:spacing w:line="312" w:lineRule="auto"/>
        <w:jc w:val="both"/>
        <w:rPr>
          <w:rFonts w:ascii="Arial" w:hAnsi="Arial"/>
        </w:rPr>
      </w:pPr>
      <w:r>
        <w:rPr>
          <w:rFonts w:ascii="Arial" w:hAnsi="Arial"/>
          <w:lang w:val="es-ES"/>
        </w:rPr>
        <w:t>A tal fin, en todos los casos de extensión de penalizaciones desde los semestres anteriores, la fecha de inicio de la penalización deberá coincidir con el inicio del “semestre controlado”, y el valor de la penalización del escalón deberá ser el mismo que se utilizó en el final del semestre anterior.</w:t>
      </w:r>
    </w:p>
    <w:p w:rsidR="007D68CC" w:rsidRDefault="007D68CC" w:rsidP="007D68CC">
      <w:pPr>
        <w:widowControl w:val="0"/>
        <w:suppressAutoHyphens/>
        <w:spacing w:line="312" w:lineRule="auto"/>
        <w:jc w:val="both"/>
        <w:rPr>
          <w:rFonts w:ascii="Arial" w:hAnsi="Arial"/>
        </w:rPr>
      </w:pPr>
    </w:p>
    <w:p w:rsidR="00B72225" w:rsidRDefault="00B72225" w:rsidP="007D68CC">
      <w:pPr>
        <w:widowControl w:val="0"/>
        <w:suppressAutoHyphens/>
        <w:spacing w:line="312" w:lineRule="auto"/>
        <w:jc w:val="both"/>
        <w:rPr>
          <w:rFonts w:ascii="Arial" w:hAnsi="Arial"/>
          <w:b/>
        </w:rPr>
      </w:pPr>
      <w:r>
        <w:rPr>
          <w:rFonts w:ascii="Arial" w:hAnsi="Arial"/>
          <w:b/>
        </w:rPr>
        <w:t>6 – ACREDITACIÓN DE LAS BONIFICACIONES:</w:t>
      </w:r>
    </w:p>
    <w:p w:rsidR="00B72225" w:rsidRDefault="00B72225" w:rsidP="007D68CC">
      <w:pPr>
        <w:widowControl w:val="0"/>
        <w:suppressAutoHyphens/>
        <w:spacing w:line="312" w:lineRule="auto"/>
        <w:jc w:val="both"/>
        <w:rPr>
          <w:rFonts w:ascii="Arial" w:hAnsi="Arial"/>
        </w:rPr>
      </w:pPr>
    </w:p>
    <w:p w:rsidR="00B72225" w:rsidRDefault="00B72225" w:rsidP="007D68CC">
      <w:pPr>
        <w:widowControl w:val="0"/>
        <w:suppressAutoHyphens/>
        <w:spacing w:line="312" w:lineRule="auto"/>
        <w:jc w:val="both"/>
        <w:rPr>
          <w:rFonts w:ascii="Arial" w:hAnsi="Arial"/>
        </w:rPr>
      </w:pPr>
      <w:r>
        <w:rPr>
          <w:rFonts w:ascii="Arial" w:hAnsi="Arial"/>
        </w:rPr>
        <w:t xml:space="preserve">Los montos de las penalidades que corresponda abonar a los usuarios afectados, deberán serles </w:t>
      </w:r>
      <w:r>
        <w:rPr>
          <w:rFonts w:ascii="Arial" w:hAnsi="Arial"/>
        </w:rPr>
        <w:lastRenderedPageBreak/>
        <w:t xml:space="preserve">acreditados de acuerdo con las pautas establecidas en esta Resolución y con las instrucciones que </w:t>
      </w:r>
      <w:r w:rsidR="006B209D">
        <w:rPr>
          <w:rFonts w:ascii="Arial" w:hAnsi="Arial"/>
        </w:rPr>
        <w:t xml:space="preserve">el ENRE </w:t>
      </w:r>
      <w:r>
        <w:rPr>
          <w:rFonts w:ascii="Arial" w:hAnsi="Arial"/>
        </w:rPr>
        <w:t>imparta al efecto.</w:t>
      </w:r>
    </w:p>
    <w:p w:rsidR="00B72225" w:rsidRDefault="00B72225" w:rsidP="007D68CC">
      <w:pPr>
        <w:widowControl w:val="0"/>
        <w:suppressAutoHyphens/>
        <w:spacing w:line="312" w:lineRule="auto"/>
        <w:jc w:val="both"/>
        <w:rPr>
          <w:rFonts w:ascii="Arial" w:hAnsi="Arial"/>
          <w:snapToGrid w:val="0"/>
        </w:rPr>
      </w:pPr>
      <w:r>
        <w:rPr>
          <w:rFonts w:ascii="Arial" w:hAnsi="Arial"/>
        </w:rPr>
        <w:t>La acreditación de los importes de las penalidades determinadas deberá consignarse en la factura de los usuarios afectados con la siguiente inscripción: “Bonificación por multa (producto) Res. ENRE N°….....”</w:t>
      </w:r>
      <w:r>
        <w:rPr>
          <w:rFonts w:ascii="Arial" w:hAnsi="Arial"/>
          <w:snapToGrid w:val="0"/>
        </w:rPr>
        <w:t xml:space="preserve"> </w:t>
      </w:r>
    </w:p>
    <w:p w:rsidR="00B72225" w:rsidRDefault="00B72225" w:rsidP="007D68CC">
      <w:pPr>
        <w:widowControl w:val="0"/>
        <w:suppressAutoHyphens/>
        <w:spacing w:line="312" w:lineRule="auto"/>
        <w:jc w:val="both"/>
        <w:rPr>
          <w:rFonts w:ascii="Arial" w:hAnsi="Arial"/>
          <w:snapToGrid w:val="0"/>
        </w:rPr>
      </w:pPr>
      <w:r>
        <w:rPr>
          <w:rFonts w:ascii="Arial" w:hAnsi="Arial"/>
          <w:snapToGrid w:val="0"/>
        </w:rPr>
        <w:t xml:space="preserve">Para el caso de usuarios dados de baja deberá darse cumplimiento a lo dispuesto en la Resolución ENRE Nº 325/2000, o la que oportunamente se encuentre vigente. </w:t>
      </w:r>
    </w:p>
    <w:p w:rsidR="002F17B2" w:rsidRDefault="002F17B2" w:rsidP="007D68CC">
      <w:pPr>
        <w:widowControl w:val="0"/>
        <w:suppressAutoHyphens/>
        <w:spacing w:line="312" w:lineRule="auto"/>
        <w:jc w:val="both"/>
        <w:rPr>
          <w:rFonts w:ascii="Arial" w:hAnsi="Arial"/>
          <w:snapToGrid w:val="0"/>
        </w:rPr>
      </w:pPr>
    </w:p>
    <w:p w:rsidR="00B72225" w:rsidRDefault="00B72225" w:rsidP="007D68CC">
      <w:pPr>
        <w:widowControl w:val="0"/>
        <w:suppressAutoHyphens/>
        <w:spacing w:line="312" w:lineRule="auto"/>
        <w:jc w:val="both"/>
        <w:rPr>
          <w:rFonts w:ascii="Arial" w:hAnsi="Arial"/>
          <w:b/>
        </w:rPr>
      </w:pPr>
      <w:r>
        <w:rPr>
          <w:rFonts w:ascii="Arial" w:hAnsi="Arial"/>
          <w:b/>
        </w:rPr>
        <w:t>7 – INFORME SEMESTRAL DE LOS RESULTADOS DEL PROCESO:</w:t>
      </w:r>
    </w:p>
    <w:p w:rsidR="00B72225" w:rsidRDefault="00B72225" w:rsidP="007D68CC">
      <w:pPr>
        <w:widowControl w:val="0"/>
        <w:suppressAutoHyphens/>
        <w:spacing w:line="312" w:lineRule="auto"/>
        <w:jc w:val="both"/>
        <w:rPr>
          <w:rFonts w:ascii="Arial" w:hAnsi="Arial"/>
        </w:rPr>
      </w:pPr>
    </w:p>
    <w:p w:rsidR="00B72225" w:rsidRDefault="00B72225" w:rsidP="007D68CC">
      <w:pPr>
        <w:widowControl w:val="0"/>
        <w:suppressAutoHyphens/>
        <w:spacing w:line="312" w:lineRule="auto"/>
        <w:jc w:val="both"/>
        <w:rPr>
          <w:rFonts w:ascii="Arial" w:hAnsi="Arial"/>
        </w:rPr>
      </w:pPr>
      <w:r>
        <w:rPr>
          <w:rFonts w:ascii="Arial" w:hAnsi="Arial"/>
        </w:rPr>
        <w:t>Las distribuidoras deberán elaborar y entreg</w:t>
      </w:r>
      <w:r w:rsidR="006B209D">
        <w:rPr>
          <w:rFonts w:ascii="Arial" w:hAnsi="Arial"/>
        </w:rPr>
        <w:t>ar al ENRE un informe semestral</w:t>
      </w:r>
      <w:r>
        <w:rPr>
          <w:rFonts w:ascii="Arial" w:hAnsi="Arial"/>
        </w:rPr>
        <w:t xml:space="preserve"> que contendrá los resultados que se obtengan como consecuencia de la aplicación del procedimiento establecido en los puntos anteriores.</w:t>
      </w:r>
    </w:p>
    <w:p w:rsidR="00B72225" w:rsidRDefault="00B72225" w:rsidP="007D68CC">
      <w:pPr>
        <w:pStyle w:val="Ttulo1"/>
        <w:keepNext w:val="0"/>
        <w:suppressAutoHyphens/>
        <w:spacing w:line="312" w:lineRule="auto"/>
        <w:rPr>
          <w:b w:val="0"/>
        </w:rPr>
      </w:pPr>
      <w:r>
        <w:rPr>
          <w:b w:val="0"/>
        </w:rPr>
        <w:t>El informe correspondiente a cada “semestre controlado” deberá contener los siguientes puntos:</w:t>
      </w:r>
    </w:p>
    <w:p w:rsidR="00B72225" w:rsidRDefault="00B72225" w:rsidP="007D68CC">
      <w:pPr>
        <w:widowControl w:val="0"/>
        <w:suppressAutoHyphens/>
      </w:pPr>
    </w:p>
    <w:p w:rsidR="00B72225" w:rsidRDefault="00B72225" w:rsidP="007D68CC">
      <w:pPr>
        <w:widowControl w:val="0"/>
        <w:numPr>
          <w:ilvl w:val="0"/>
          <w:numId w:val="3"/>
        </w:numPr>
        <w:suppressAutoHyphens/>
        <w:spacing w:line="312" w:lineRule="auto"/>
        <w:ind w:left="0" w:firstLine="0"/>
        <w:jc w:val="both"/>
        <w:rPr>
          <w:rFonts w:ascii="Arial" w:hAnsi="Arial"/>
        </w:rPr>
      </w:pPr>
      <w:r>
        <w:rPr>
          <w:rFonts w:ascii="Arial" w:hAnsi="Arial"/>
        </w:rPr>
        <w:t xml:space="preserve">Tabla: </w:t>
      </w:r>
      <w:r>
        <w:rPr>
          <w:rFonts w:ascii="Arial" w:hAnsi="Arial"/>
          <w:b/>
        </w:rPr>
        <w:t>“Resumen de bonificaciones”</w:t>
      </w:r>
      <w:r>
        <w:rPr>
          <w:rFonts w:ascii="Arial" w:hAnsi="Arial"/>
        </w:rPr>
        <w:t xml:space="preserve">. </w:t>
      </w:r>
      <w:r w:rsidR="006B209D">
        <w:rPr>
          <w:rFonts w:ascii="Arial" w:hAnsi="Arial"/>
        </w:rPr>
        <w:t>Las</w:t>
      </w:r>
      <w:r>
        <w:rPr>
          <w:rFonts w:ascii="Arial" w:hAnsi="Arial"/>
        </w:rPr>
        <w:t xml:space="preserve"> distribuidora</w:t>
      </w:r>
      <w:r w:rsidR="006B209D">
        <w:rPr>
          <w:rFonts w:ascii="Arial" w:hAnsi="Arial"/>
        </w:rPr>
        <w:t>s</w:t>
      </w:r>
      <w:r>
        <w:rPr>
          <w:rFonts w:ascii="Arial" w:hAnsi="Arial"/>
        </w:rPr>
        <w:t xml:space="preserve"> deberá</w:t>
      </w:r>
      <w:r w:rsidR="006B209D">
        <w:rPr>
          <w:rFonts w:ascii="Arial" w:hAnsi="Arial"/>
        </w:rPr>
        <w:t>n</w:t>
      </w:r>
      <w:r>
        <w:rPr>
          <w:rFonts w:ascii="Arial" w:hAnsi="Arial"/>
        </w:rPr>
        <w:t xml:space="preserve"> elaborar un resumen en papel de las bonificaciones determinadas, discriminándose para cada semestre de control en el que existan puntos pendientes de solución</w:t>
      </w:r>
      <w:r>
        <w:rPr>
          <w:rFonts w:ascii="Arial" w:hAnsi="Arial"/>
          <w:b/>
        </w:rPr>
        <w:t>,</w:t>
      </w:r>
      <w:r>
        <w:rPr>
          <w:rFonts w:ascii="Arial" w:hAnsi="Arial"/>
        </w:rPr>
        <w:t xml:space="preserve"> la cantidad de usuarios bonificados y los montos totales de esas bonificaciones. </w:t>
      </w:r>
    </w:p>
    <w:p w:rsidR="00B72225" w:rsidRDefault="00B72225" w:rsidP="007D68CC">
      <w:pPr>
        <w:widowControl w:val="0"/>
        <w:suppressAutoHyphens/>
        <w:spacing w:line="312" w:lineRule="auto"/>
        <w:jc w:val="both"/>
        <w:rPr>
          <w:rFonts w:ascii="Arial" w:hAnsi="Arial"/>
        </w:rPr>
      </w:pPr>
    </w:p>
    <w:p w:rsidR="00B72225" w:rsidRDefault="00B72225" w:rsidP="007D68CC">
      <w:pPr>
        <w:widowControl w:val="0"/>
        <w:numPr>
          <w:ilvl w:val="0"/>
          <w:numId w:val="3"/>
        </w:numPr>
        <w:suppressAutoHyphens/>
        <w:spacing w:line="312" w:lineRule="auto"/>
        <w:ind w:left="0" w:firstLine="0"/>
        <w:jc w:val="both"/>
        <w:rPr>
          <w:rFonts w:ascii="Arial" w:hAnsi="Arial"/>
        </w:rPr>
      </w:pPr>
      <w:r>
        <w:rPr>
          <w:rFonts w:ascii="Arial" w:hAnsi="Arial"/>
        </w:rPr>
        <w:t xml:space="preserve">Tablas: </w:t>
      </w:r>
      <w:r>
        <w:rPr>
          <w:rFonts w:ascii="Arial" w:hAnsi="Arial"/>
          <w:b/>
        </w:rPr>
        <w:t>“Usuarios bonificados afectados”</w:t>
      </w:r>
      <w:r>
        <w:rPr>
          <w:rFonts w:ascii="Arial" w:hAnsi="Arial"/>
        </w:rPr>
        <w:t xml:space="preserve">. Se deberá consignar en medio informático todos los usuarios que recibirán las bonificaciones incluyendo al alumbrado público, con la estructura de la tabla siguiente. La información de la misma debe ser coincidente con las tablas 10 y 11 según Resolución ENRE N° 002/1998 del semestre bajo control. Para los casos de mediciones en usuarios puntuales, en la fila correspondiente al CEN_MTBT deberá indicarse como </w:t>
      </w:r>
      <w:r>
        <w:rPr>
          <w:rFonts w:ascii="Arial" w:hAnsi="Arial"/>
          <w:i/>
        </w:rPr>
        <w:t>“USUARIO”</w:t>
      </w:r>
      <w:r>
        <w:rPr>
          <w:rFonts w:ascii="Arial" w:hAnsi="Arial"/>
        </w:rPr>
        <w:t>.</w:t>
      </w:r>
    </w:p>
    <w:p w:rsidR="002F17B2" w:rsidRDefault="002F17B2" w:rsidP="007D68CC">
      <w:pPr>
        <w:widowControl w:val="0"/>
        <w:suppressAutoHyphens/>
        <w:spacing w:line="312" w:lineRule="auto"/>
        <w:jc w:val="both"/>
        <w:rPr>
          <w:rFonts w:ascii="Arial" w:hAnsi="Arial"/>
        </w:rPr>
      </w:pPr>
    </w:p>
    <w:p w:rsidR="00E61266" w:rsidRDefault="00E61266" w:rsidP="007D68CC">
      <w:pPr>
        <w:widowControl w:val="0"/>
        <w:suppressAutoHyphens/>
        <w:rPr>
          <w:highlight w:val="yellow"/>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2"/>
        <w:gridCol w:w="5245"/>
      </w:tblGrid>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b/>
              </w:rPr>
            </w:pPr>
            <w:r>
              <w:rPr>
                <w:rFonts w:ascii="Arial" w:hAnsi="Arial" w:cs="Arial"/>
              </w:rPr>
              <w:br w:type="page"/>
            </w:r>
            <w:r>
              <w:rPr>
                <w:rFonts w:ascii="Arial" w:hAnsi="Arial" w:cs="Arial"/>
              </w:rPr>
              <w:br w:type="page"/>
            </w:r>
            <w:r>
              <w:rPr>
                <w:rFonts w:ascii="Arial" w:hAnsi="Arial" w:cs="Arial"/>
                <w:b/>
              </w:rPr>
              <w:t>ORDEN</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b/>
              </w:rPr>
            </w:pPr>
            <w:r>
              <w:rPr>
                <w:rFonts w:ascii="Arial" w:hAnsi="Arial" w:cs="Arial"/>
                <w:b/>
              </w:rPr>
              <w:t>NOMBRE</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b/>
              </w:rPr>
            </w:pPr>
            <w:r>
              <w:rPr>
                <w:rFonts w:ascii="Arial" w:hAnsi="Arial" w:cs="Arial"/>
                <w:b/>
              </w:rPr>
              <w:t>DESCRIPCIÓN</w:t>
            </w:r>
          </w:p>
        </w:tc>
      </w:tr>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1</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NUMENRE</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Identificación de la medición (ENRE)</w:t>
            </w:r>
            <w:r w:rsidR="002B54CC">
              <w:rPr>
                <w:rFonts w:ascii="Arial" w:hAnsi="Arial" w:cs="Arial"/>
              </w:rPr>
              <w:t>.</w:t>
            </w:r>
          </w:p>
        </w:tc>
      </w:tr>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2</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IDENTIFICA</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Identificador del usuario (</w:t>
            </w:r>
            <w:r w:rsidR="003A0B14">
              <w:rPr>
                <w:rFonts w:ascii="Arial" w:hAnsi="Arial" w:cs="Arial"/>
              </w:rPr>
              <w:t>Distribuidora</w:t>
            </w:r>
            <w:r>
              <w:rPr>
                <w:rFonts w:ascii="Arial" w:hAnsi="Arial" w:cs="Arial"/>
              </w:rPr>
              <w:t>)</w:t>
            </w:r>
            <w:r w:rsidR="002B54CC">
              <w:rPr>
                <w:rFonts w:ascii="Arial" w:hAnsi="Arial" w:cs="Arial"/>
              </w:rPr>
              <w:t>.</w:t>
            </w:r>
          </w:p>
        </w:tc>
      </w:tr>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3</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TARIFA</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Tarifa</w:t>
            </w:r>
            <w:r w:rsidR="002B54CC">
              <w:rPr>
                <w:rFonts w:ascii="Arial" w:hAnsi="Arial" w:cs="Arial"/>
              </w:rPr>
              <w:t>.</w:t>
            </w:r>
          </w:p>
        </w:tc>
      </w:tr>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4</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NOMBRE</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Nombre y apellido del usuario</w:t>
            </w:r>
            <w:r w:rsidR="002B54CC">
              <w:rPr>
                <w:rFonts w:ascii="Arial" w:hAnsi="Arial" w:cs="Arial"/>
              </w:rPr>
              <w:t>.</w:t>
            </w:r>
          </w:p>
        </w:tc>
      </w:tr>
      <w:tr w:rsidR="00B72225" w:rsidTr="00B72225">
        <w:trPr>
          <w:trHeight w:val="351"/>
        </w:trPr>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DIRECCION</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Dirección</w:t>
            </w:r>
            <w:r w:rsidR="002B54CC">
              <w:rPr>
                <w:rFonts w:ascii="Arial" w:hAnsi="Arial" w:cs="Arial"/>
              </w:rPr>
              <w:t>.</w:t>
            </w:r>
          </w:p>
        </w:tc>
      </w:tr>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6</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LOCALIDAD</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Localidad</w:t>
            </w:r>
            <w:r w:rsidR="002B54CC">
              <w:rPr>
                <w:rFonts w:ascii="Arial" w:hAnsi="Arial" w:cs="Arial"/>
              </w:rPr>
              <w:t>.</w:t>
            </w:r>
          </w:p>
        </w:tc>
      </w:tr>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7</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CEN_MTBT</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 xml:space="preserve">Identificación del distribuidor de BT (Tal como se informó en el Campo CEN_MTBT de la tabla 10 de </w:t>
            </w:r>
            <w:smartTag w:uri="urn:schemas-microsoft-com:office:smarttags" w:element="PersonName">
              <w:smartTagPr>
                <w:attr w:name="ProductID" w:val="la Resoluci￳n ENRE"/>
              </w:smartTagPr>
              <w:r>
                <w:rPr>
                  <w:rFonts w:ascii="Arial" w:hAnsi="Arial" w:cs="Arial"/>
                </w:rPr>
                <w:t>la Resolución ENRE</w:t>
              </w:r>
            </w:smartTag>
            <w:r>
              <w:rPr>
                <w:rFonts w:ascii="Arial" w:hAnsi="Arial" w:cs="Arial"/>
              </w:rPr>
              <w:t xml:space="preserve"> N° 02/98.</w:t>
            </w:r>
          </w:p>
        </w:tc>
      </w:tr>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8</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ENERGIA_AN</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Energía anual (kWh)</w:t>
            </w:r>
            <w:r w:rsidR="002B54CC">
              <w:rPr>
                <w:rFonts w:ascii="Arial" w:hAnsi="Arial" w:cs="Arial"/>
              </w:rPr>
              <w:t>.</w:t>
            </w:r>
          </w:p>
        </w:tc>
      </w:tr>
      <w:tr w:rsidR="00B72225" w:rsidTr="00B72225">
        <w:tc>
          <w:tcPr>
            <w:tcW w:w="993"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jc w:val="center"/>
              <w:rPr>
                <w:rFonts w:ascii="Arial" w:hAnsi="Arial" w:cs="Arial"/>
              </w:rPr>
            </w:pPr>
            <w:r>
              <w:rPr>
                <w:rFonts w:ascii="Arial" w:hAnsi="Arial" w:cs="Arial"/>
              </w:rPr>
              <w:t>9</w:t>
            </w:r>
          </w:p>
        </w:tc>
        <w:tc>
          <w:tcPr>
            <w:tcW w:w="1842"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BONIFICA</w:t>
            </w:r>
          </w:p>
        </w:tc>
        <w:tc>
          <w:tcPr>
            <w:tcW w:w="5245" w:type="dxa"/>
            <w:tcBorders>
              <w:top w:val="single" w:sz="4" w:space="0" w:color="auto"/>
              <w:left w:val="single" w:sz="4" w:space="0" w:color="auto"/>
              <w:bottom w:val="single" w:sz="4" w:space="0" w:color="auto"/>
              <w:right w:val="single" w:sz="4" w:space="0" w:color="auto"/>
            </w:tcBorders>
            <w:hideMark/>
          </w:tcPr>
          <w:p w:rsidR="00B72225" w:rsidRDefault="00B72225" w:rsidP="007D68CC">
            <w:pPr>
              <w:pStyle w:val="Piedepgina"/>
              <w:suppressAutoHyphens/>
              <w:rPr>
                <w:rFonts w:ascii="Arial" w:hAnsi="Arial" w:cs="Arial"/>
              </w:rPr>
            </w:pPr>
            <w:r>
              <w:rPr>
                <w:rFonts w:ascii="Arial" w:hAnsi="Arial" w:cs="Arial"/>
              </w:rPr>
              <w:t>Bonificación ($)</w:t>
            </w:r>
            <w:r w:rsidR="002B54CC">
              <w:rPr>
                <w:rFonts w:ascii="Arial" w:hAnsi="Arial" w:cs="Arial"/>
              </w:rPr>
              <w:t>.</w:t>
            </w:r>
          </w:p>
        </w:tc>
      </w:tr>
      <w:tr w:rsidR="002B54CC" w:rsidTr="00B72225">
        <w:tc>
          <w:tcPr>
            <w:tcW w:w="993" w:type="dxa"/>
            <w:tcBorders>
              <w:top w:val="single" w:sz="4" w:space="0" w:color="auto"/>
              <w:left w:val="single" w:sz="4" w:space="0" w:color="auto"/>
              <w:bottom w:val="single" w:sz="4" w:space="0" w:color="auto"/>
              <w:right w:val="single" w:sz="4" w:space="0" w:color="auto"/>
            </w:tcBorders>
          </w:tcPr>
          <w:p w:rsidR="002B54CC" w:rsidRDefault="002B54CC" w:rsidP="007D68CC">
            <w:pPr>
              <w:pStyle w:val="Piedepgina"/>
              <w:suppressAutoHyphens/>
              <w:jc w:val="center"/>
              <w:rPr>
                <w:rFonts w:ascii="Arial" w:hAnsi="Arial" w:cs="Arial"/>
              </w:rPr>
            </w:pPr>
            <w:r>
              <w:rPr>
                <w:rFonts w:ascii="Arial" w:hAnsi="Arial" w:cs="Arial"/>
              </w:rPr>
              <w:t>10</w:t>
            </w:r>
          </w:p>
        </w:tc>
        <w:tc>
          <w:tcPr>
            <w:tcW w:w="1842" w:type="dxa"/>
            <w:tcBorders>
              <w:top w:val="single" w:sz="4" w:space="0" w:color="auto"/>
              <w:left w:val="single" w:sz="4" w:space="0" w:color="auto"/>
              <w:bottom w:val="single" w:sz="4" w:space="0" w:color="auto"/>
              <w:right w:val="single" w:sz="4" w:space="0" w:color="auto"/>
            </w:tcBorders>
          </w:tcPr>
          <w:p w:rsidR="002B54CC" w:rsidRDefault="002B54CC" w:rsidP="007D68CC">
            <w:pPr>
              <w:pStyle w:val="Piedepgina"/>
              <w:suppressAutoHyphens/>
              <w:rPr>
                <w:rFonts w:ascii="Arial" w:hAnsi="Arial" w:cs="Arial"/>
              </w:rPr>
            </w:pPr>
            <w:r>
              <w:rPr>
                <w:rFonts w:ascii="Arial" w:hAnsi="Arial" w:cs="Arial"/>
              </w:rPr>
              <w:t>DESTINO</w:t>
            </w:r>
          </w:p>
        </w:tc>
        <w:tc>
          <w:tcPr>
            <w:tcW w:w="5245" w:type="dxa"/>
            <w:tcBorders>
              <w:top w:val="single" w:sz="4" w:space="0" w:color="auto"/>
              <w:left w:val="single" w:sz="4" w:space="0" w:color="auto"/>
              <w:bottom w:val="single" w:sz="4" w:space="0" w:color="auto"/>
              <w:right w:val="single" w:sz="4" w:space="0" w:color="auto"/>
            </w:tcBorders>
          </w:tcPr>
          <w:p w:rsidR="002B54CC" w:rsidRDefault="005C388A" w:rsidP="007D68CC">
            <w:pPr>
              <w:pStyle w:val="Piedepgina"/>
              <w:suppressAutoHyphens/>
              <w:rPr>
                <w:rFonts w:ascii="Arial" w:hAnsi="Arial" w:cs="Arial"/>
              </w:rPr>
            </w:pPr>
            <w:r>
              <w:rPr>
                <w:rFonts w:ascii="Arial" w:hAnsi="Arial" w:cs="Arial"/>
              </w:rPr>
              <w:t>USUARIO o</w:t>
            </w:r>
            <w:r w:rsidR="002B54CC">
              <w:rPr>
                <w:rFonts w:ascii="Arial" w:hAnsi="Arial" w:cs="Arial"/>
              </w:rPr>
              <w:t xml:space="preserve"> Resolución ENRE N° 171/2000.</w:t>
            </w:r>
          </w:p>
        </w:tc>
      </w:tr>
    </w:tbl>
    <w:p w:rsidR="002F17B2" w:rsidRDefault="002F17B2" w:rsidP="007D68CC">
      <w:pPr>
        <w:widowControl w:val="0"/>
        <w:suppressAutoHyphens/>
        <w:spacing w:line="312" w:lineRule="auto"/>
        <w:jc w:val="both"/>
        <w:rPr>
          <w:rFonts w:ascii="Arial" w:hAnsi="Arial"/>
          <w:b/>
        </w:rPr>
      </w:pPr>
    </w:p>
    <w:p w:rsidR="001D38F7" w:rsidRDefault="001F5140" w:rsidP="007D68CC">
      <w:pPr>
        <w:widowControl w:val="0"/>
        <w:suppressAutoHyphens/>
        <w:spacing w:line="312" w:lineRule="auto"/>
        <w:jc w:val="both"/>
        <w:rPr>
          <w:rFonts w:ascii="Arial" w:hAnsi="Arial"/>
          <w:b/>
        </w:rPr>
      </w:pPr>
      <w:r>
        <w:rPr>
          <w:rFonts w:ascii="Arial" w:hAnsi="Arial"/>
          <w:b/>
        </w:rPr>
        <w:t>8</w:t>
      </w:r>
      <w:r w:rsidR="00A4595F">
        <w:rPr>
          <w:rFonts w:ascii="Arial" w:hAnsi="Arial"/>
          <w:b/>
        </w:rPr>
        <w:t xml:space="preserve"> –</w:t>
      </w:r>
      <w:r w:rsidR="001D38F7">
        <w:rPr>
          <w:rFonts w:ascii="Arial" w:hAnsi="Arial"/>
          <w:b/>
        </w:rPr>
        <w:t xml:space="preserve"> PLAZ</w:t>
      </w:r>
      <w:r w:rsidR="00247ED7">
        <w:rPr>
          <w:rFonts w:ascii="Arial" w:hAnsi="Arial"/>
          <w:b/>
        </w:rPr>
        <w:t>OS PARA LA ACREDITACIÓ</w:t>
      </w:r>
      <w:r w:rsidR="001D38F7">
        <w:rPr>
          <w:rFonts w:ascii="Arial" w:hAnsi="Arial"/>
          <w:b/>
        </w:rPr>
        <w:t>N DE</w:t>
      </w:r>
      <w:r w:rsidR="006B209D">
        <w:rPr>
          <w:rFonts w:ascii="Arial" w:hAnsi="Arial"/>
          <w:b/>
        </w:rPr>
        <w:t xml:space="preserve"> LAS </w:t>
      </w:r>
      <w:r w:rsidR="001D38F7">
        <w:rPr>
          <w:rFonts w:ascii="Arial" w:hAnsi="Arial"/>
          <w:b/>
        </w:rPr>
        <w:t xml:space="preserve"> BONIFICACIONES Y LA ENTREGA DEL INFORME SEMESTRAL:</w:t>
      </w:r>
    </w:p>
    <w:p w:rsidR="00802427" w:rsidRPr="002E682C" w:rsidRDefault="00802427" w:rsidP="007D68CC">
      <w:pPr>
        <w:widowControl w:val="0"/>
        <w:suppressAutoHyphens/>
        <w:spacing w:line="312" w:lineRule="auto"/>
        <w:jc w:val="both"/>
        <w:rPr>
          <w:rFonts w:ascii="Arial" w:hAnsi="Arial"/>
        </w:rPr>
      </w:pPr>
      <w:r w:rsidRPr="002E682C">
        <w:rPr>
          <w:rFonts w:ascii="Arial" w:hAnsi="Arial"/>
        </w:rPr>
        <w:t xml:space="preserve">La </w:t>
      </w:r>
      <w:r w:rsidR="003A0B14">
        <w:rPr>
          <w:rFonts w:ascii="Arial" w:hAnsi="Arial"/>
        </w:rPr>
        <w:t>Distribuidora</w:t>
      </w:r>
      <w:r w:rsidRPr="002E682C">
        <w:rPr>
          <w:rFonts w:ascii="Arial" w:hAnsi="Arial"/>
        </w:rPr>
        <w:t xml:space="preserve"> deberá presentar e</w:t>
      </w:r>
      <w:r>
        <w:rPr>
          <w:rFonts w:ascii="Arial" w:hAnsi="Arial"/>
        </w:rPr>
        <w:t>l informe semestral dentro</w:t>
      </w:r>
      <w:r w:rsidRPr="002E682C">
        <w:rPr>
          <w:rFonts w:ascii="Arial" w:hAnsi="Arial"/>
        </w:rPr>
        <w:t xml:space="preserve"> de los SESENTA (60) días corridos de finalizado el semestre de control.</w:t>
      </w:r>
    </w:p>
    <w:p w:rsidR="00802427" w:rsidRPr="002E682C" w:rsidRDefault="00802427" w:rsidP="007D68CC">
      <w:pPr>
        <w:widowControl w:val="0"/>
        <w:suppressAutoHyphens/>
        <w:spacing w:line="312" w:lineRule="auto"/>
        <w:jc w:val="both"/>
        <w:rPr>
          <w:rFonts w:ascii="Arial" w:hAnsi="Arial"/>
        </w:rPr>
      </w:pPr>
      <w:r w:rsidRPr="002E682C">
        <w:rPr>
          <w:rFonts w:ascii="Arial" w:hAnsi="Arial"/>
        </w:rPr>
        <w:lastRenderedPageBreak/>
        <w:t>Dentro de los DIEZ (10) días hábiles administrativos posteriores al plazo estipulado para la presentación del informe semestral, los montos de las bonificaciones determinadas deberán ser acreditados en las cuentas de los USUARIOS activos</w:t>
      </w:r>
      <w:r w:rsidR="00B301F1">
        <w:rPr>
          <w:rFonts w:ascii="Arial" w:hAnsi="Arial"/>
        </w:rPr>
        <w:t>.</w:t>
      </w:r>
    </w:p>
    <w:p w:rsidR="00802427" w:rsidRPr="002E682C" w:rsidRDefault="00802427" w:rsidP="007D68CC">
      <w:pPr>
        <w:widowControl w:val="0"/>
        <w:suppressAutoHyphens/>
        <w:spacing w:line="312" w:lineRule="auto"/>
        <w:jc w:val="both"/>
        <w:rPr>
          <w:rFonts w:ascii="Arial" w:hAnsi="Arial"/>
        </w:rPr>
      </w:pPr>
      <w:r w:rsidRPr="002E682C">
        <w:rPr>
          <w:rFonts w:ascii="Arial" w:hAnsi="Arial"/>
        </w:rPr>
        <w:t xml:space="preserve">El importe de las multas se deberá incluir como bonificación en la primera facturación que la </w:t>
      </w:r>
      <w:r w:rsidR="003A0B14">
        <w:rPr>
          <w:rFonts w:ascii="Arial" w:hAnsi="Arial"/>
        </w:rPr>
        <w:t>Distribuidora</w:t>
      </w:r>
      <w:r w:rsidRPr="002E682C">
        <w:rPr>
          <w:rFonts w:ascii="Arial" w:hAnsi="Arial"/>
        </w:rPr>
        <w:t xml:space="preserve"> emita a los USUARIOS transcurrido el plazo de acreditación indicado</w:t>
      </w:r>
      <w:r w:rsidR="00CE7E9A" w:rsidRPr="002E682C">
        <w:rPr>
          <w:rFonts w:ascii="Arial" w:hAnsi="Arial"/>
        </w:rPr>
        <w:t xml:space="preserve"> en el párrafo precedente</w:t>
      </w:r>
      <w:r w:rsidRPr="002E682C">
        <w:rPr>
          <w:rFonts w:ascii="Arial" w:hAnsi="Arial"/>
        </w:rPr>
        <w:t xml:space="preserve">, debiendo hacerse constar en la misma, cuando el crédito exceda su importe, el saldo del remanente y el aviso al USUARIO de que podrá percibirlo en UN (1) solo pago, en las oficinas que la </w:t>
      </w:r>
      <w:r w:rsidR="003A0B14">
        <w:rPr>
          <w:rFonts w:ascii="Arial" w:hAnsi="Arial"/>
        </w:rPr>
        <w:t>Distribuidora</w:t>
      </w:r>
      <w:r w:rsidRPr="002E682C">
        <w:rPr>
          <w:rFonts w:ascii="Arial" w:hAnsi="Arial"/>
        </w:rPr>
        <w:t xml:space="preserve"> habilite a tal fin, en la cabecera de cada sucursal como mínimo, en los días y horarios habituales de atención al público, mediante la sola exhibición de la factura y el documento de identidad. Cuando el USUARIO, notificado acerca de la existencia de sus saldos remanentes, no se presentara a percibirlos, la </w:t>
      </w:r>
      <w:r w:rsidR="003A0B14">
        <w:rPr>
          <w:rFonts w:ascii="Arial" w:hAnsi="Arial"/>
        </w:rPr>
        <w:t>Distribuidora</w:t>
      </w:r>
      <w:r w:rsidRPr="002E682C">
        <w:rPr>
          <w:rFonts w:ascii="Arial" w:hAnsi="Arial"/>
        </w:rPr>
        <w:t xml:space="preserve"> deberá compensarlos con los importes de las facturaciones siguientes, las que además de indicar el crédito por dicho saldo, deberán reiterar el aviso en el sentido de que podrá optarse por recibir ese crédito en un único pago. Los créditos remanentes deberán ser pagados de la siguiente manera: importes de hasta inclusive UN MIL PESOS ($ 1.000) en efectivo y en el momento en que el USUARIO se presente a cobrar. Los importes superiores a UN MIL PESOS ($ 1.000) podrán ser cancelados mediante cheque entregado al USUARIO dentro de los DIEZ (10) días hábiles administrativos de ejercida la opción y sin que se deba concurrir, para ello, en más de una oportunidad (</w:t>
      </w:r>
      <w:proofErr w:type="spellStart"/>
      <w:r w:rsidRPr="002E682C">
        <w:rPr>
          <w:rFonts w:ascii="Arial" w:hAnsi="Arial"/>
        </w:rPr>
        <w:t>conf</w:t>
      </w:r>
      <w:proofErr w:type="spellEnd"/>
      <w:r w:rsidRPr="002E682C">
        <w:rPr>
          <w:rFonts w:ascii="Arial" w:hAnsi="Arial"/>
        </w:rPr>
        <w:t>: criterio según resoluciones  ENRE)</w:t>
      </w:r>
    </w:p>
    <w:p w:rsidR="00802427" w:rsidRPr="002E682C" w:rsidRDefault="00802427" w:rsidP="007D68CC">
      <w:pPr>
        <w:widowControl w:val="0"/>
        <w:suppressAutoHyphens/>
        <w:spacing w:line="312" w:lineRule="auto"/>
        <w:jc w:val="both"/>
        <w:rPr>
          <w:rFonts w:ascii="Arial" w:hAnsi="Arial"/>
        </w:rPr>
      </w:pPr>
      <w:r w:rsidRPr="002E682C">
        <w:rPr>
          <w:rFonts w:ascii="Arial" w:hAnsi="Arial"/>
        </w:rPr>
        <w:t>Los importes de las bonificaciones deberán consignarse en las facturas de los USUARIOS a quienes corresponda con el siguiente texto: “Res.</w:t>
      </w:r>
      <w:r w:rsidR="00CE7E9A" w:rsidRPr="002E682C">
        <w:rPr>
          <w:rFonts w:ascii="Arial" w:hAnsi="Arial"/>
        </w:rPr>
        <w:t xml:space="preserve"> </w:t>
      </w:r>
      <w:r w:rsidR="003A0B14">
        <w:rPr>
          <w:rFonts w:ascii="Arial" w:hAnsi="Arial"/>
        </w:rPr>
        <w:t>ENRE N° …./2017_Bonif_CPT_PERT</w:t>
      </w:r>
      <w:r w:rsidRPr="002E682C">
        <w:rPr>
          <w:rFonts w:ascii="Arial" w:hAnsi="Arial"/>
        </w:rPr>
        <w:t>_Sem_XX”, donde XX es el número de semestre: 42, 43, 44, etc. (</w:t>
      </w:r>
      <w:proofErr w:type="spellStart"/>
      <w:r w:rsidRPr="002E682C">
        <w:rPr>
          <w:rFonts w:ascii="Arial" w:hAnsi="Arial"/>
        </w:rPr>
        <w:t>conf</w:t>
      </w:r>
      <w:proofErr w:type="spellEnd"/>
      <w:r w:rsidRPr="002E682C">
        <w:rPr>
          <w:rFonts w:ascii="Arial" w:hAnsi="Arial"/>
        </w:rPr>
        <w:t>: criterio según resoluciones ENRE)</w:t>
      </w:r>
    </w:p>
    <w:p w:rsidR="00802427" w:rsidRPr="003A0B14" w:rsidRDefault="00802427" w:rsidP="007D68CC">
      <w:pPr>
        <w:widowControl w:val="0"/>
        <w:suppressAutoHyphens/>
        <w:spacing w:line="312" w:lineRule="auto"/>
        <w:jc w:val="both"/>
        <w:rPr>
          <w:rFonts w:ascii="Arial" w:hAnsi="Arial"/>
        </w:rPr>
      </w:pPr>
      <w:r w:rsidRPr="003A0B14">
        <w:rPr>
          <w:rFonts w:ascii="Arial" w:hAnsi="Arial"/>
        </w:rPr>
        <w:t>Para el caso de USUARIOS dados de baja (durante el semestre controlado o al momento de efectuar la acreditación), y dentro de los DIEZ (10) días hábiles administrativos posteriores al plazo estipulado para efectuar el cálculo, deberá darse cumplimiento a lo estipulado en el punto 5.5.4 del SUBANEXO 4, el cual manifiesta que la DISTRIBUIDORA deberá depositar los importes correspondientes en la cuenta abierta en cumplimiento de la Resolución ENRE Nº 171/2000, o aquélla q</w:t>
      </w:r>
      <w:r w:rsidR="002A7B77" w:rsidRPr="003A0B14">
        <w:rPr>
          <w:rFonts w:ascii="Arial" w:hAnsi="Arial"/>
        </w:rPr>
        <w:t>ue en el futuro la reemplace.</w:t>
      </w:r>
    </w:p>
    <w:p w:rsidR="00802427" w:rsidRPr="003A0B14" w:rsidRDefault="00802427" w:rsidP="007D68CC">
      <w:pPr>
        <w:widowControl w:val="0"/>
        <w:suppressAutoHyphens/>
        <w:spacing w:line="312" w:lineRule="auto"/>
        <w:jc w:val="both"/>
        <w:rPr>
          <w:rFonts w:ascii="Arial" w:hAnsi="Arial"/>
        </w:rPr>
      </w:pPr>
      <w:r w:rsidRPr="003A0B14">
        <w:rPr>
          <w:rFonts w:ascii="Arial" w:hAnsi="Arial"/>
        </w:rPr>
        <w:t xml:space="preserve">Si, con posterioridad a ello, un USUARIO se presentare requiriendo el pago de su acreencia, LA DISTRIBUIDORA deberá hacer efectivo el crédito y proceder al recupero del importe descontándolo del próximo depósito a realizar en la cuenta referida, todo lo cual deberá acreditar ante el ENTE con la presentación del recibo de pago e identificación del depósito en el que se efectuará la compensación del importe respectivo; además deberá dar cumplimiento a lo dispuesto en </w:t>
      </w:r>
      <w:smartTag w:uri="urn:schemas-microsoft-com:office:smarttags" w:element="PersonName">
        <w:smartTagPr>
          <w:attr w:name="ProductID" w:val="la Resoluci￳n ENRE"/>
        </w:smartTagPr>
        <w:r w:rsidRPr="003A0B14">
          <w:rPr>
            <w:rFonts w:ascii="Arial" w:hAnsi="Arial"/>
          </w:rPr>
          <w:t>la Resolución ENRE</w:t>
        </w:r>
      </w:smartTag>
      <w:r w:rsidRPr="003A0B14">
        <w:rPr>
          <w:rFonts w:ascii="Arial" w:hAnsi="Arial"/>
        </w:rPr>
        <w:t xml:space="preserve"> N° 325 dictada el 7 de junio de 2000.</w:t>
      </w:r>
    </w:p>
    <w:p w:rsidR="00802427" w:rsidRPr="003A0B14" w:rsidRDefault="00802427" w:rsidP="007D68CC">
      <w:pPr>
        <w:widowControl w:val="0"/>
        <w:suppressAutoHyphens/>
        <w:spacing w:line="312" w:lineRule="auto"/>
        <w:jc w:val="both"/>
        <w:rPr>
          <w:rFonts w:ascii="Arial" w:hAnsi="Arial"/>
        </w:rPr>
      </w:pPr>
      <w:r w:rsidRPr="003A0B14">
        <w:rPr>
          <w:rFonts w:ascii="Arial" w:hAnsi="Arial"/>
        </w:rPr>
        <w:t>Las acreditaciones o depósitos posteriores al momento en que deben satisfacerse deberán efectuarse con más los intereses a la tasa activa para descuento de documentos comerciales a TREINTA (30) días del Banco de la Nación Argentina, calculados para el lapso que va desde ese mo</w:t>
      </w:r>
      <w:r w:rsidR="003A0B14">
        <w:rPr>
          <w:rFonts w:ascii="Arial" w:hAnsi="Arial"/>
        </w:rPr>
        <w:t>mento y</w:t>
      </w:r>
      <w:r w:rsidRPr="003A0B14">
        <w:rPr>
          <w:rFonts w:ascii="Arial" w:hAnsi="Arial"/>
        </w:rPr>
        <w:t xml:space="preserve"> hasta su efectiva acreditación o pago (</w:t>
      </w:r>
      <w:proofErr w:type="spellStart"/>
      <w:r w:rsidRPr="003A0B14">
        <w:rPr>
          <w:rFonts w:ascii="Arial" w:hAnsi="Arial"/>
        </w:rPr>
        <w:t>conf</w:t>
      </w:r>
      <w:proofErr w:type="spellEnd"/>
      <w:r w:rsidRPr="003A0B14">
        <w:rPr>
          <w:rFonts w:ascii="Arial" w:hAnsi="Arial"/>
        </w:rPr>
        <w:t>: criterio según resoluciones  ENRE)</w:t>
      </w:r>
    </w:p>
    <w:p w:rsidR="00E11A4F" w:rsidRDefault="00802427" w:rsidP="007D68CC">
      <w:pPr>
        <w:widowControl w:val="0"/>
        <w:suppressAutoHyphens/>
        <w:spacing w:line="312" w:lineRule="auto"/>
        <w:jc w:val="both"/>
        <w:rPr>
          <w:rFonts w:ascii="Arial" w:hAnsi="Arial"/>
        </w:rPr>
      </w:pPr>
      <w:r w:rsidRPr="00B301F1">
        <w:rPr>
          <w:rFonts w:ascii="Arial" w:hAnsi="Arial"/>
        </w:rPr>
        <w:t xml:space="preserve">Dentro de los DIEZ (10) </w:t>
      </w:r>
      <w:r w:rsidR="003A0B14" w:rsidRPr="003A0B14">
        <w:rPr>
          <w:rFonts w:ascii="Arial" w:hAnsi="Arial"/>
        </w:rPr>
        <w:t xml:space="preserve">días hábiles desde la fecha de presentación del informe semestral, </w:t>
      </w:r>
      <w:r w:rsidR="003A0B14">
        <w:rPr>
          <w:rFonts w:ascii="Arial" w:hAnsi="Arial"/>
        </w:rPr>
        <w:t>la</w:t>
      </w:r>
      <w:r w:rsidR="003A0B14" w:rsidRPr="003A0B14">
        <w:rPr>
          <w:rFonts w:ascii="Arial" w:hAnsi="Arial"/>
        </w:rPr>
        <w:t xml:space="preserve"> </w:t>
      </w:r>
      <w:r w:rsidR="003A0B14">
        <w:rPr>
          <w:rFonts w:ascii="Arial" w:hAnsi="Arial"/>
        </w:rPr>
        <w:t>DISTRUIBUIDORA deberá</w:t>
      </w:r>
      <w:r w:rsidR="003A0B14" w:rsidRPr="003A0B14">
        <w:rPr>
          <w:rFonts w:ascii="Arial" w:hAnsi="Arial"/>
        </w:rPr>
        <w:t xml:space="preserve"> remitir al ENRE en medio informático e informar sobre el cumplimiento del proceso de acreditación de las penalidades en la cuenta de cada uno de los </w:t>
      </w:r>
      <w:r w:rsidR="00C17D24">
        <w:rPr>
          <w:rFonts w:ascii="Arial" w:hAnsi="Arial"/>
        </w:rPr>
        <w:t>USUARIOS</w:t>
      </w:r>
      <w:r w:rsidR="003A0B14" w:rsidRPr="003A0B14">
        <w:rPr>
          <w:rFonts w:ascii="Arial" w:hAnsi="Arial"/>
        </w:rPr>
        <w:t>, mediante documentación certificada por Auditor Externo o Contador Público Independiente cuya firma se encuentre certificada por el Consejo Profesional respectivo</w:t>
      </w:r>
      <w:r w:rsidRPr="00B301F1">
        <w:rPr>
          <w:rFonts w:ascii="Arial" w:hAnsi="Arial"/>
        </w:rPr>
        <w:t xml:space="preserve"> (punto 3.2.5 del SUBANEXO </w:t>
      </w:r>
      <w:r w:rsidRPr="00B301F1">
        <w:rPr>
          <w:rFonts w:ascii="Arial" w:hAnsi="Arial"/>
        </w:rPr>
        <w:lastRenderedPageBreak/>
        <w:t>4).</w:t>
      </w:r>
      <w:r w:rsidR="00E11A4F">
        <w:rPr>
          <w:rFonts w:ascii="Arial" w:hAnsi="Arial"/>
        </w:rPr>
        <w:t xml:space="preserve"> </w:t>
      </w:r>
    </w:p>
    <w:p w:rsidR="00802427" w:rsidRPr="00B301F1" w:rsidRDefault="00802427" w:rsidP="007D68CC">
      <w:pPr>
        <w:widowControl w:val="0"/>
        <w:suppressAutoHyphens/>
        <w:spacing w:line="312" w:lineRule="auto"/>
        <w:jc w:val="both"/>
        <w:rPr>
          <w:rFonts w:ascii="Arial" w:hAnsi="Arial"/>
        </w:rPr>
      </w:pPr>
      <w:r w:rsidRPr="00B301F1">
        <w:rPr>
          <w:rFonts w:ascii="Arial" w:hAnsi="Arial"/>
        </w:rPr>
        <w:t xml:space="preserve">En igual plazo, para los casos de </w:t>
      </w:r>
      <w:r w:rsidR="00C17D24" w:rsidRPr="00B301F1">
        <w:rPr>
          <w:rFonts w:ascii="Arial" w:hAnsi="Arial"/>
        </w:rPr>
        <w:t>USUARIOS</w:t>
      </w:r>
      <w:r w:rsidRPr="00B301F1">
        <w:rPr>
          <w:rFonts w:ascii="Arial" w:hAnsi="Arial"/>
        </w:rPr>
        <w:t xml:space="preserve"> dados de baja, donde la acreditación se haya realizado de acuerdo a lo estipulado en el punto 5.5.4 del SUBANEXO 4, deberá entregar al ENRE copia firmada por su representante o apoderado, de la documentación respaldatoria del depósito (</w:t>
      </w:r>
      <w:proofErr w:type="spellStart"/>
      <w:r w:rsidRPr="00B301F1">
        <w:rPr>
          <w:rFonts w:ascii="Arial" w:hAnsi="Arial"/>
        </w:rPr>
        <w:t>conf</w:t>
      </w:r>
      <w:proofErr w:type="spellEnd"/>
      <w:r w:rsidRPr="00B301F1">
        <w:rPr>
          <w:rFonts w:ascii="Arial" w:hAnsi="Arial"/>
        </w:rPr>
        <w:t>: criterio según resoluciones  ENRE).</w:t>
      </w:r>
    </w:p>
    <w:p w:rsidR="00B96EC7" w:rsidRPr="00E61266" w:rsidRDefault="00053A79" w:rsidP="007D68CC">
      <w:pPr>
        <w:widowControl w:val="0"/>
        <w:suppressAutoHyphens/>
        <w:spacing w:line="312" w:lineRule="auto"/>
        <w:jc w:val="both"/>
        <w:rPr>
          <w:rFonts w:ascii="Arial" w:hAnsi="Arial"/>
        </w:rPr>
      </w:pPr>
      <w:r w:rsidRPr="00B301F1">
        <w:rPr>
          <w:rFonts w:ascii="Arial" w:hAnsi="Arial"/>
        </w:rPr>
        <w:t xml:space="preserve">El </w:t>
      </w:r>
      <w:r>
        <w:rPr>
          <w:rFonts w:ascii="Arial" w:hAnsi="Arial"/>
        </w:rPr>
        <w:t xml:space="preserve">procedimiento establecido en </w:t>
      </w:r>
      <w:r w:rsidR="006B209D">
        <w:rPr>
          <w:rFonts w:ascii="Arial" w:hAnsi="Arial"/>
        </w:rPr>
        <w:t xml:space="preserve">este </w:t>
      </w:r>
      <w:r w:rsidR="007D68CC">
        <w:rPr>
          <w:rFonts w:ascii="Arial" w:hAnsi="Arial"/>
        </w:rPr>
        <w:t xml:space="preserve">ANEXO </w:t>
      </w:r>
      <w:r>
        <w:rPr>
          <w:rFonts w:ascii="Arial" w:hAnsi="Arial"/>
        </w:rPr>
        <w:t xml:space="preserve">deberá ser aplicado por las </w:t>
      </w:r>
      <w:r w:rsidR="00C17D24">
        <w:rPr>
          <w:rFonts w:ascii="Arial" w:hAnsi="Arial"/>
        </w:rPr>
        <w:t>DISTRIBUIDORAS</w:t>
      </w:r>
      <w:r w:rsidR="00F40623">
        <w:rPr>
          <w:rFonts w:ascii="Arial" w:hAnsi="Arial"/>
        </w:rPr>
        <w:t xml:space="preserve"> al finalizar cada semestre</w:t>
      </w:r>
      <w:r w:rsidR="00076C76">
        <w:rPr>
          <w:rFonts w:ascii="Arial" w:hAnsi="Arial"/>
        </w:rPr>
        <w:t xml:space="preserve"> a partir de la entrada en vigencia del nuevo cuadro tarifario</w:t>
      </w:r>
      <w:r>
        <w:rPr>
          <w:rFonts w:ascii="Arial" w:hAnsi="Arial"/>
        </w:rPr>
        <w:t>.</w:t>
      </w:r>
      <w:r w:rsidR="00F40623">
        <w:rPr>
          <w:rFonts w:ascii="Arial" w:hAnsi="Arial"/>
        </w:rPr>
        <w:t xml:space="preserve"> No será necesario que para ello el ENRE emita una nueva resolución.</w:t>
      </w:r>
    </w:p>
    <w:sectPr w:rsidR="00B96EC7" w:rsidRPr="00E61266" w:rsidSect="007D68CC">
      <w:headerReference w:type="even" r:id="rId7"/>
      <w:headerReference w:type="default" r:id="rId8"/>
      <w:footerReference w:type="default" r:id="rId9"/>
      <w:pgSz w:w="11907" w:h="16840" w:code="9"/>
      <w:pgMar w:top="2694" w:right="850" w:bottom="1440" w:left="1701" w:header="720" w:footer="720"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DF" w:rsidRDefault="008A60DF">
      <w:r>
        <w:separator/>
      </w:r>
    </w:p>
  </w:endnote>
  <w:endnote w:type="continuationSeparator" w:id="0">
    <w:p w:rsidR="008A60DF" w:rsidRDefault="008A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897133"/>
      <w:docPartObj>
        <w:docPartGallery w:val="Page Numbers (Bottom of Page)"/>
        <w:docPartUnique/>
      </w:docPartObj>
    </w:sdtPr>
    <w:sdtEndPr/>
    <w:sdtContent>
      <w:p w:rsidR="007D68CC" w:rsidRDefault="007D68CC">
        <w:pPr>
          <w:pStyle w:val="Piedepgina"/>
          <w:jc w:val="center"/>
        </w:pPr>
        <w:r w:rsidRPr="007D68CC">
          <w:rPr>
            <w:rFonts w:ascii="Arial" w:hAnsi="Arial" w:cs="Arial"/>
            <w:sz w:val="16"/>
            <w:szCs w:val="16"/>
          </w:rPr>
          <w:fldChar w:fldCharType="begin"/>
        </w:r>
        <w:r w:rsidRPr="007D68CC">
          <w:rPr>
            <w:rFonts w:ascii="Arial" w:hAnsi="Arial" w:cs="Arial"/>
            <w:sz w:val="16"/>
            <w:szCs w:val="16"/>
          </w:rPr>
          <w:instrText>PAGE   \* MERGEFORMAT</w:instrText>
        </w:r>
        <w:r w:rsidRPr="007D68CC">
          <w:rPr>
            <w:rFonts w:ascii="Arial" w:hAnsi="Arial" w:cs="Arial"/>
            <w:sz w:val="16"/>
            <w:szCs w:val="16"/>
          </w:rPr>
          <w:fldChar w:fldCharType="separate"/>
        </w:r>
        <w:r w:rsidR="00B0366B" w:rsidRPr="00B0366B">
          <w:rPr>
            <w:rFonts w:ascii="Arial" w:hAnsi="Arial" w:cs="Arial"/>
            <w:noProof/>
            <w:sz w:val="16"/>
            <w:szCs w:val="16"/>
            <w:lang w:val="es-ES"/>
          </w:rPr>
          <w:t>5</w:t>
        </w:r>
        <w:r w:rsidRPr="007D68CC">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DF" w:rsidRDefault="008A60DF">
      <w:r>
        <w:separator/>
      </w:r>
    </w:p>
  </w:footnote>
  <w:footnote w:type="continuationSeparator" w:id="0">
    <w:p w:rsidR="008A60DF" w:rsidRDefault="008A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25" w:rsidRDefault="00B7222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Look w:val="05E0" w:firstRow="1" w:lastRow="1" w:firstColumn="1" w:lastColumn="1" w:noHBand="0" w:noVBand="1"/>
    </w:tblPr>
    <w:tblGrid>
      <w:gridCol w:w="4536"/>
      <w:gridCol w:w="4928"/>
    </w:tblGrid>
    <w:tr w:rsidR="007D68CC" w:rsidTr="007D68CC">
      <w:tc>
        <w:tcPr>
          <w:tcW w:w="4536" w:type="dxa"/>
        </w:tcPr>
        <w:p w:rsidR="007D68CC" w:rsidRDefault="007D68CC">
          <w:pPr>
            <w:pStyle w:val="Encabezado"/>
            <w:ind w:right="360"/>
          </w:pPr>
          <w:r>
            <w:rPr>
              <w:noProof/>
            </w:rPr>
            <w:drawing>
              <wp:inline distT="0" distB="0" distL="0" distR="0">
                <wp:extent cx="1428750" cy="714375"/>
                <wp:effectExtent l="0" t="0" r="0" b="9525"/>
                <wp:docPr id="57" name="Imagen 5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14375"/>
                        </a:xfrm>
                        <a:prstGeom prst="rect">
                          <a:avLst/>
                        </a:prstGeom>
                      </pic:spPr>
                    </pic:pic>
                  </a:graphicData>
                </a:graphic>
              </wp:inline>
            </w:drawing>
          </w:r>
        </w:p>
      </w:tc>
      <w:tc>
        <w:tcPr>
          <w:tcW w:w="4928" w:type="dxa"/>
        </w:tcPr>
        <w:p w:rsidR="007D68CC" w:rsidRDefault="007D68CC" w:rsidP="007D68CC">
          <w:pPr>
            <w:pStyle w:val="Encabezado"/>
            <w:ind w:right="360"/>
            <w:jc w:val="right"/>
          </w:pPr>
          <w:r>
            <w:rPr>
              <w:noProof/>
            </w:rPr>
            <w:drawing>
              <wp:inline distT="0" distB="0" distL="0" distR="0">
                <wp:extent cx="2314575" cy="171450"/>
                <wp:effectExtent l="0" t="0" r="9525" b="0"/>
                <wp:docPr id="58" name="Imagen 5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2314575" cy="171450"/>
                        </a:xfrm>
                        <a:prstGeom prst="rect">
                          <a:avLst/>
                        </a:prstGeom>
                      </pic:spPr>
                    </pic:pic>
                  </a:graphicData>
                </a:graphic>
              </wp:inline>
            </w:drawing>
          </w:r>
        </w:p>
      </w:tc>
    </w:tr>
  </w:tbl>
  <w:p w:rsidR="00B72225" w:rsidRDefault="00B7222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6FCD"/>
    <w:multiLevelType w:val="hybridMultilevel"/>
    <w:tmpl w:val="3FCE43AA"/>
    <w:lvl w:ilvl="0" w:tplc="466C1D3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1E6525D"/>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 w:numId="3">
    <w:abstractNumId w:val="1"/>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B4"/>
    <w:rsid w:val="0002516F"/>
    <w:rsid w:val="00034EA9"/>
    <w:rsid w:val="00045250"/>
    <w:rsid w:val="00053A79"/>
    <w:rsid w:val="000603D9"/>
    <w:rsid w:val="000623C7"/>
    <w:rsid w:val="00076C76"/>
    <w:rsid w:val="000A4B57"/>
    <w:rsid w:val="000B2E5C"/>
    <w:rsid w:val="000D093F"/>
    <w:rsid w:val="000D1EFA"/>
    <w:rsid w:val="000D409F"/>
    <w:rsid w:val="000F13E3"/>
    <w:rsid w:val="001230E5"/>
    <w:rsid w:val="0012433A"/>
    <w:rsid w:val="001356F4"/>
    <w:rsid w:val="0013705C"/>
    <w:rsid w:val="0014267F"/>
    <w:rsid w:val="00162AD8"/>
    <w:rsid w:val="00164B0C"/>
    <w:rsid w:val="001827D8"/>
    <w:rsid w:val="001832C3"/>
    <w:rsid w:val="00191224"/>
    <w:rsid w:val="001B596A"/>
    <w:rsid w:val="001C0DC1"/>
    <w:rsid w:val="001D38F7"/>
    <w:rsid w:val="001F5140"/>
    <w:rsid w:val="002024C3"/>
    <w:rsid w:val="00203DA5"/>
    <w:rsid w:val="00205D03"/>
    <w:rsid w:val="002125BD"/>
    <w:rsid w:val="002148CF"/>
    <w:rsid w:val="00226AC0"/>
    <w:rsid w:val="00230E2C"/>
    <w:rsid w:val="00234F11"/>
    <w:rsid w:val="002376DA"/>
    <w:rsid w:val="002379CC"/>
    <w:rsid w:val="00245DA2"/>
    <w:rsid w:val="00247ED7"/>
    <w:rsid w:val="00260E9A"/>
    <w:rsid w:val="00266C30"/>
    <w:rsid w:val="00270A7D"/>
    <w:rsid w:val="002805C2"/>
    <w:rsid w:val="00282140"/>
    <w:rsid w:val="002A672E"/>
    <w:rsid w:val="002A7B77"/>
    <w:rsid w:val="002B54CC"/>
    <w:rsid w:val="002D56B9"/>
    <w:rsid w:val="002D66FB"/>
    <w:rsid w:val="002D6D1D"/>
    <w:rsid w:val="002E640C"/>
    <w:rsid w:val="002E682C"/>
    <w:rsid w:val="002F17B2"/>
    <w:rsid w:val="002F7BC4"/>
    <w:rsid w:val="00320C82"/>
    <w:rsid w:val="00334A74"/>
    <w:rsid w:val="00361AB4"/>
    <w:rsid w:val="00361C64"/>
    <w:rsid w:val="003634E7"/>
    <w:rsid w:val="003734D6"/>
    <w:rsid w:val="003810B4"/>
    <w:rsid w:val="003863BA"/>
    <w:rsid w:val="0039512D"/>
    <w:rsid w:val="003A0B14"/>
    <w:rsid w:val="003B772A"/>
    <w:rsid w:val="003E6376"/>
    <w:rsid w:val="003F5908"/>
    <w:rsid w:val="004141AA"/>
    <w:rsid w:val="00421AEF"/>
    <w:rsid w:val="00435161"/>
    <w:rsid w:val="00444618"/>
    <w:rsid w:val="00444C83"/>
    <w:rsid w:val="00450E49"/>
    <w:rsid w:val="004522BF"/>
    <w:rsid w:val="00456C17"/>
    <w:rsid w:val="00460538"/>
    <w:rsid w:val="004712F8"/>
    <w:rsid w:val="004720BF"/>
    <w:rsid w:val="00480213"/>
    <w:rsid w:val="004D1EB4"/>
    <w:rsid w:val="004E04B1"/>
    <w:rsid w:val="00520BC3"/>
    <w:rsid w:val="00536C5B"/>
    <w:rsid w:val="005412D0"/>
    <w:rsid w:val="00564F72"/>
    <w:rsid w:val="005744E7"/>
    <w:rsid w:val="005A13AF"/>
    <w:rsid w:val="005A389F"/>
    <w:rsid w:val="005A5E66"/>
    <w:rsid w:val="005A7186"/>
    <w:rsid w:val="005C388A"/>
    <w:rsid w:val="005C69EC"/>
    <w:rsid w:val="005D2635"/>
    <w:rsid w:val="005E3A03"/>
    <w:rsid w:val="00647911"/>
    <w:rsid w:val="00655B75"/>
    <w:rsid w:val="0065622F"/>
    <w:rsid w:val="006661A5"/>
    <w:rsid w:val="0066732A"/>
    <w:rsid w:val="006B209D"/>
    <w:rsid w:val="006B5C84"/>
    <w:rsid w:val="006C3725"/>
    <w:rsid w:val="006D2083"/>
    <w:rsid w:val="006D24A1"/>
    <w:rsid w:val="006E2520"/>
    <w:rsid w:val="006F7D6C"/>
    <w:rsid w:val="0070385D"/>
    <w:rsid w:val="0070657B"/>
    <w:rsid w:val="00707DE0"/>
    <w:rsid w:val="00711DDE"/>
    <w:rsid w:val="00723377"/>
    <w:rsid w:val="00723947"/>
    <w:rsid w:val="00731CEA"/>
    <w:rsid w:val="00736E9F"/>
    <w:rsid w:val="0076699C"/>
    <w:rsid w:val="007756C3"/>
    <w:rsid w:val="00777043"/>
    <w:rsid w:val="00793D5D"/>
    <w:rsid w:val="007A160A"/>
    <w:rsid w:val="007B153B"/>
    <w:rsid w:val="007C5211"/>
    <w:rsid w:val="007D3C8F"/>
    <w:rsid w:val="007D44B0"/>
    <w:rsid w:val="007D5CA4"/>
    <w:rsid w:val="007D68CC"/>
    <w:rsid w:val="007E0DB2"/>
    <w:rsid w:val="00800E99"/>
    <w:rsid w:val="00802427"/>
    <w:rsid w:val="00802E61"/>
    <w:rsid w:val="00816497"/>
    <w:rsid w:val="00837654"/>
    <w:rsid w:val="00841834"/>
    <w:rsid w:val="00853E6B"/>
    <w:rsid w:val="0085545C"/>
    <w:rsid w:val="00860E9C"/>
    <w:rsid w:val="008720CC"/>
    <w:rsid w:val="0087352C"/>
    <w:rsid w:val="008855EC"/>
    <w:rsid w:val="00891856"/>
    <w:rsid w:val="008A5607"/>
    <w:rsid w:val="008A60DF"/>
    <w:rsid w:val="008A79DD"/>
    <w:rsid w:val="008C4A4D"/>
    <w:rsid w:val="008E440D"/>
    <w:rsid w:val="008E6A1E"/>
    <w:rsid w:val="008F22B6"/>
    <w:rsid w:val="008F4C75"/>
    <w:rsid w:val="008F5AC6"/>
    <w:rsid w:val="009050A0"/>
    <w:rsid w:val="0093635A"/>
    <w:rsid w:val="00936A27"/>
    <w:rsid w:val="00944594"/>
    <w:rsid w:val="00947539"/>
    <w:rsid w:val="00961637"/>
    <w:rsid w:val="00967366"/>
    <w:rsid w:val="009776E8"/>
    <w:rsid w:val="00990305"/>
    <w:rsid w:val="009945E9"/>
    <w:rsid w:val="0099560E"/>
    <w:rsid w:val="009A4D7A"/>
    <w:rsid w:val="009C54BC"/>
    <w:rsid w:val="009C5AB1"/>
    <w:rsid w:val="009C5FA6"/>
    <w:rsid w:val="009F0D4E"/>
    <w:rsid w:val="009F44D7"/>
    <w:rsid w:val="009F7D5D"/>
    <w:rsid w:val="00A15090"/>
    <w:rsid w:val="00A33898"/>
    <w:rsid w:val="00A36EA3"/>
    <w:rsid w:val="00A4595F"/>
    <w:rsid w:val="00A479E7"/>
    <w:rsid w:val="00A527A5"/>
    <w:rsid w:val="00A81B7D"/>
    <w:rsid w:val="00AB2A25"/>
    <w:rsid w:val="00AD530C"/>
    <w:rsid w:val="00AD7D9A"/>
    <w:rsid w:val="00AF06B4"/>
    <w:rsid w:val="00AF20EF"/>
    <w:rsid w:val="00B0366B"/>
    <w:rsid w:val="00B10533"/>
    <w:rsid w:val="00B23160"/>
    <w:rsid w:val="00B301F1"/>
    <w:rsid w:val="00B5085B"/>
    <w:rsid w:val="00B52991"/>
    <w:rsid w:val="00B55F21"/>
    <w:rsid w:val="00B56CB6"/>
    <w:rsid w:val="00B6006D"/>
    <w:rsid w:val="00B72225"/>
    <w:rsid w:val="00B73972"/>
    <w:rsid w:val="00B96EC7"/>
    <w:rsid w:val="00BD484D"/>
    <w:rsid w:val="00BE0922"/>
    <w:rsid w:val="00BE7D4E"/>
    <w:rsid w:val="00C1027D"/>
    <w:rsid w:val="00C1212E"/>
    <w:rsid w:val="00C16D1D"/>
    <w:rsid w:val="00C17A00"/>
    <w:rsid w:val="00C17A06"/>
    <w:rsid w:val="00C17D24"/>
    <w:rsid w:val="00C22EEF"/>
    <w:rsid w:val="00C576F7"/>
    <w:rsid w:val="00C62635"/>
    <w:rsid w:val="00C62BFE"/>
    <w:rsid w:val="00C72E89"/>
    <w:rsid w:val="00C742DF"/>
    <w:rsid w:val="00C8049E"/>
    <w:rsid w:val="00C8211C"/>
    <w:rsid w:val="00C86466"/>
    <w:rsid w:val="00C90917"/>
    <w:rsid w:val="00C95C9A"/>
    <w:rsid w:val="00CC4480"/>
    <w:rsid w:val="00CC5C24"/>
    <w:rsid w:val="00CE0A9B"/>
    <w:rsid w:val="00CE7E9A"/>
    <w:rsid w:val="00CF2A98"/>
    <w:rsid w:val="00CF2FA5"/>
    <w:rsid w:val="00CF7CEA"/>
    <w:rsid w:val="00D06C20"/>
    <w:rsid w:val="00D13747"/>
    <w:rsid w:val="00D17EA8"/>
    <w:rsid w:val="00D208D5"/>
    <w:rsid w:val="00D3482D"/>
    <w:rsid w:val="00D35AF9"/>
    <w:rsid w:val="00D51900"/>
    <w:rsid w:val="00D56434"/>
    <w:rsid w:val="00D77E66"/>
    <w:rsid w:val="00D86EE0"/>
    <w:rsid w:val="00D91968"/>
    <w:rsid w:val="00DA35BA"/>
    <w:rsid w:val="00DC160F"/>
    <w:rsid w:val="00DD5CE2"/>
    <w:rsid w:val="00DE18EF"/>
    <w:rsid w:val="00DF5FEF"/>
    <w:rsid w:val="00E11A4F"/>
    <w:rsid w:val="00E232F4"/>
    <w:rsid w:val="00E405BC"/>
    <w:rsid w:val="00E61266"/>
    <w:rsid w:val="00E62BFB"/>
    <w:rsid w:val="00E65185"/>
    <w:rsid w:val="00E83C19"/>
    <w:rsid w:val="00E903F2"/>
    <w:rsid w:val="00E91BAE"/>
    <w:rsid w:val="00EB20C5"/>
    <w:rsid w:val="00EB4A50"/>
    <w:rsid w:val="00EB4DA5"/>
    <w:rsid w:val="00EB56C8"/>
    <w:rsid w:val="00EC511E"/>
    <w:rsid w:val="00ED03D7"/>
    <w:rsid w:val="00EE657A"/>
    <w:rsid w:val="00EF7FC1"/>
    <w:rsid w:val="00F06D21"/>
    <w:rsid w:val="00F104C5"/>
    <w:rsid w:val="00F2456E"/>
    <w:rsid w:val="00F33011"/>
    <w:rsid w:val="00F40623"/>
    <w:rsid w:val="00F54AD5"/>
    <w:rsid w:val="00F81FE4"/>
    <w:rsid w:val="00F91042"/>
    <w:rsid w:val="00F96C33"/>
    <w:rsid w:val="00FB26DB"/>
    <w:rsid w:val="00FB4854"/>
    <w:rsid w:val="00FB710C"/>
    <w:rsid w:val="00FD1AC8"/>
    <w:rsid w:val="00FE5B5F"/>
    <w:rsid w:val="00FE6678"/>
    <w:rsid w:val="00FF58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CCC8CD7-29A4-4470-A2AF-ECF2E8DC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widowControl w:val="0"/>
      <w:jc w:val="both"/>
      <w:outlineLvl w:val="0"/>
    </w:pPr>
    <w:rPr>
      <w:rFonts w:ascii="Arial" w:hAnsi="Arial"/>
      <w:b/>
    </w:rPr>
  </w:style>
  <w:style w:type="paragraph" w:styleId="Ttulo2">
    <w:name w:val="heading 2"/>
    <w:basedOn w:val="Normal"/>
    <w:next w:val="Normal"/>
    <w:qFormat/>
    <w:pPr>
      <w:keepNext/>
      <w:spacing w:before="100" w:beforeAutospacing="1" w:line="312" w:lineRule="auto"/>
      <w:jc w:val="both"/>
      <w:outlineLvl w:val="1"/>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pPr>
      <w:widowControl w:val="0"/>
    </w:pPr>
    <w:rPr>
      <w:rFonts w:ascii="Arial" w:hAnsi="Arial"/>
      <w:b/>
      <w:sz w:val="28"/>
    </w:rPr>
  </w:style>
  <w:style w:type="paragraph" w:styleId="Piedepgina">
    <w:name w:val="footer"/>
    <w:basedOn w:val="Normal"/>
    <w:link w:val="PiedepginaCar"/>
    <w:uiPriority w:val="99"/>
    <w:pPr>
      <w:widowControl w:val="0"/>
      <w:tabs>
        <w:tab w:val="center" w:pos="4419"/>
        <w:tab w:val="right" w:pos="8838"/>
      </w:tabs>
    </w:pPr>
  </w:style>
  <w:style w:type="paragraph" w:styleId="Encabezado">
    <w:name w:val="header"/>
    <w:basedOn w:val="Normal"/>
    <w:link w:val="EncabezadoCar"/>
    <w:uiPriority w:val="99"/>
    <w:pPr>
      <w:widowControl w:val="0"/>
      <w:tabs>
        <w:tab w:val="center" w:pos="4419"/>
        <w:tab w:val="right" w:pos="8838"/>
      </w:tabs>
    </w:pPr>
  </w:style>
  <w:style w:type="paragraph" w:styleId="Textoindependiente2">
    <w:name w:val="Body Text 2"/>
    <w:basedOn w:val="Normal"/>
    <w:link w:val="Textoindependiente2Car"/>
    <w:semiHidden/>
    <w:pPr>
      <w:widowControl w:val="0"/>
    </w:pPr>
    <w:rPr>
      <w:rFonts w:ascii="Arial" w:hAnsi="Arial"/>
    </w:rPr>
  </w:style>
  <w:style w:type="paragraph" w:styleId="Sangra2detindependiente">
    <w:name w:val="Body Text Indent 2"/>
    <w:basedOn w:val="Normal"/>
    <w:semiHidden/>
    <w:pPr>
      <w:ind w:firstLine="708"/>
      <w:jc w:val="both"/>
    </w:pPr>
    <w:rPr>
      <w:rFonts w:ascii="Arial" w:hAnsi="Arial"/>
      <w:sz w:val="22"/>
      <w:lang w:val="es-ES"/>
    </w:rPr>
  </w:style>
  <w:style w:type="paragraph" w:styleId="Textoindependiente3">
    <w:name w:val="Body Text 3"/>
    <w:basedOn w:val="Normal"/>
    <w:semiHidden/>
    <w:pPr>
      <w:widowControl w:val="0"/>
      <w:numPr>
        <w:ilvl w:val="12"/>
      </w:numPr>
      <w:jc w:val="both"/>
    </w:pPr>
    <w:rPr>
      <w:rFonts w:ascii="Arial" w:hAnsi="Arial"/>
      <w:b/>
    </w:rPr>
  </w:style>
  <w:style w:type="paragraph" w:styleId="Sangra3detindependiente">
    <w:name w:val="Body Text Indent 3"/>
    <w:basedOn w:val="Normal"/>
    <w:semiHidden/>
    <w:pPr>
      <w:ind w:firstLine="708"/>
      <w:jc w:val="both"/>
    </w:pPr>
    <w:rPr>
      <w:sz w:val="22"/>
      <w:lang w:val="es-ES_tradnl"/>
    </w:rPr>
  </w:style>
  <w:style w:type="paragraph" w:customStyle="1" w:styleId="Textoindependiente21">
    <w:name w:val="Texto independiente 21"/>
    <w:basedOn w:val="Normal"/>
    <w:pPr>
      <w:spacing w:line="480" w:lineRule="auto"/>
      <w:ind w:right="-1"/>
      <w:jc w:val="both"/>
    </w:pPr>
    <w:rPr>
      <w:rFonts w:ascii="Arial" w:hAnsi="Arial"/>
      <w:b/>
      <w:sz w:val="22"/>
      <w:lang w:val="es-ES_tradnl"/>
    </w:rPr>
  </w:style>
  <w:style w:type="character" w:styleId="Nmerodepgina">
    <w:name w:val="page number"/>
    <w:basedOn w:val="Fuentedeprrafopredeter"/>
    <w:semiHidden/>
  </w:style>
  <w:style w:type="character" w:styleId="Textodelmarcadordeposicin">
    <w:name w:val="Placeholder Text"/>
    <w:basedOn w:val="Fuentedeprrafopredeter"/>
    <w:uiPriority w:val="99"/>
    <w:semiHidden/>
    <w:rsid w:val="00564F72"/>
    <w:rPr>
      <w:color w:val="808080"/>
    </w:rPr>
  </w:style>
  <w:style w:type="character" w:customStyle="1" w:styleId="TextoindependienteCar">
    <w:name w:val="Texto independiente Car"/>
    <w:basedOn w:val="Fuentedeprrafopredeter"/>
    <w:link w:val="Textoindependiente"/>
    <w:uiPriority w:val="99"/>
    <w:semiHidden/>
    <w:rsid w:val="00564F72"/>
    <w:rPr>
      <w:rFonts w:ascii="Arial" w:hAnsi="Arial"/>
      <w:b/>
      <w:sz w:val="28"/>
      <w:lang w:eastAsia="es-ES"/>
    </w:rPr>
  </w:style>
  <w:style w:type="character" w:customStyle="1" w:styleId="EstiloSmboloCambriaMathCursiva">
    <w:name w:val="Estilo (Símbolo) Cambria Math Cursiva"/>
    <w:basedOn w:val="Fuentedeprrafopredeter"/>
    <w:rsid w:val="00564F72"/>
    <w:rPr>
      <w:rFonts w:ascii="Arial" w:hAnsi="Arial"/>
      <w:i/>
      <w:iCs/>
      <w:sz w:val="20"/>
    </w:rPr>
  </w:style>
  <w:style w:type="paragraph" w:styleId="Prrafodelista">
    <w:name w:val="List Paragraph"/>
    <w:basedOn w:val="Normal"/>
    <w:uiPriority w:val="34"/>
    <w:qFormat/>
    <w:rsid w:val="005A13AF"/>
    <w:pPr>
      <w:ind w:left="720"/>
      <w:contextualSpacing/>
    </w:pPr>
  </w:style>
  <w:style w:type="character" w:customStyle="1" w:styleId="Textoindependiente2Car">
    <w:name w:val="Texto independiente 2 Car"/>
    <w:basedOn w:val="Fuentedeprrafopredeter"/>
    <w:link w:val="Textoindependiente2"/>
    <w:semiHidden/>
    <w:rsid w:val="0070385D"/>
    <w:rPr>
      <w:rFonts w:ascii="Arial" w:hAnsi="Arial"/>
    </w:rPr>
  </w:style>
  <w:style w:type="character" w:customStyle="1" w:styleId="Ttulo1Car">
    <w:name w:val="Título 1 Car"/>
    <w:basedOn w:val="Fuentedeprrafopredeter"/>
    <w:link w:val="Ttulo1"/>
    <w:rsid w:val="003E6376"/>
    <w:rPr>
      <w:rFonts w:ascii="Arial" w:hAnsi="Arial"/>
      <w:b/>
    </w:rPr>
  </w:style>
  <w:style w:type="character" w:customStyle="1" w:styleId="PiedepginaCar">
    <w:name w:val="Pie de página Car"/>
    <w:basedOn w:val="Fuentedeprrafopredeter"/>
    <w:link w:val="Piedepgina"/>
    <w:uiPriority w:val="99"/>
    <w:rsid w:val="00B72225"/>
  </w:style>
  <w:style w:type="paragraph" w:styleId="Textodeglobo">
    <w:name w:val="Balloon Text"/>
    <w:basedOn w:val="Normal"/>
    <w:link w:val="TextodegloboCar"/>
    <w:uiPriority w:val="99"/>
    <w:semiHidden/>
    <w:unhideWhenUsed/>
    <w:rsid w:val="008418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834"/>
    <w:rPr>
      <w:rFonts w:ascii="Segoe UI" w:hAnsi="Segoe UI" w:cs="Segoe UI"/>
      <w:sz w:val="18"/>
      <w:szCs w:val="18"/>
    </w:rPr>
  </w:style>
  <w:style w:type="paragraph" w:styleId="Sangradetextonormal">
    <w:name w:val="Body Text Indent"/>
    <w:basedOn w:val="Normal"/>
    <w:link w:val="SangradetextonormalCar"/>
    <w:uiPriority w:val="99"/>
    <w:semiHidden/>
    <w:unhideWhenUsed/>
    <w:rsid w:val="00800E99"/>
    <w:pPr>
      <w:spacing w:after="120"/>
      <w:ind w:left="283"/>
    </w:pPr>
  </w:style>
  <w:style w:type="character" w:customStyle="1" w:styleId="SangradetextonormalCar">
    <w:name w:val="Sangría de texto normal Car"/>
    <w:basedOn w:val="Fuentedeprrafopredeter"/>
    <w:link w:val="Sangradetextonormal"/>
    <w:uiPriority w:val="99"/>
    <w:semiHidden/>
    <w:rsid w:val="00800E99"/>
  </w:style>
  <w:style w:type="paragraph" w:styleId="NormalWeb">
    <w:name w:val="Normal (Web)"/>
    <w:basedOn w:val="Normal"/>
    <w:uiPriority w:val="99"/>
    <w:semiHidden/>
    <w:unhideWhenUsed/>
    <w:rsid w:val="00FB710C"/>
    <w:pPr>
      <w:spacing w:before="100" w:beforeAutospacing="1" w:after="100" w:afterAutospacing="1"/>
    </w:pPr>
    <w:rPr>
      <w:rFonts w:eastAsiaTheme="minorEastAsia"/>
      <w:sz w:val="24"/>
      <w:szCs w:val="24"/>
    </w:rPr>
  </w:style>
  <w:style w:type="character" w:customStyle="1" w:styleId="EncabezadoCar">
    <w:name w:val="Encabezado Car"/>
    <w:basedOn w:val="Fuentedeprrafopredeter"/>
    <w:link w:val="Encabezado"/>
    <w:uiPriority w:val="99"/>
    <w:rsid w:val="007D68CC"/>
  </w:style>
  <w:style w:type="table" w:styleId="Tablaconcuadrcula">
    <w:name w:val="Table Grid"/>
    <w:basedOn w:val="Tablanormal"/>
    <w:uiPriority w:val="39"/>
    <w:rsid w:val="007D6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8712">
      <w:bodyDiv w:val="1"/>
      <w:marLeft w:val="0"/>
      <w:marRight w:val="0"/>
      <w:marTop w:val="0"/>
      <w:marBottom w:val="0"/>
      <w:divBdr>
        <w:top w:val="none" w:sz="0" w:space="0" w:color="auto"/>
        <w:left w:val="none" w:sz="0" w:space="0" w:color="auto"/>
        <w:bottom w:val="none" w:sz="0" w:space="0" w:color="auto"/>
        <w:right w:val="none" w:sz="0" w:space="0" w:color="auto"/>
      </w:divBdr>
    </w:div>
    <w:div w:id="233784742">
      <w:bodyDiv w:val="1"/>
      <w:marLeft w:val="0"/>
      <w:marRight w:val="0"/>
      <w:marTop w:val="0"/>
      <w:marBottom w:val="0"/>
      <w:divBdr>
        <w:top w:val="none" w:sz="0" w:space="0" w:color="auto"/>
        <w:left w:val="none" w:sz="0" w:space="0" w:color="auto"/>
        <w:bottom w:val="none" w:sz="0" w:space="0" w:color="auto"/>
        <w:right w:val="none" w:sz="0" w:space="0" w:color="auto"/>
      </w:divBdr>
    </w:div>
    <w:div w:id="488911896">
      <w:bodyDiv w:val="1"/>
      <w:marLeft w:val="0"/>
      <w:marRight w:val="0"/>
      <w:marTop w:val="0"/>
      <w:marBottom w:val="0"/>
      <w:divBdr>
        <w:top w:val="none" w:sz="0" w:space="0" w:color="auto"/>
        <w:left w:val="none" w:sz="0" w:space="0" w:color="auto"/>
        <w:bottom w:val="none" w:sz="0" w:space="0" w:color="auto"/>
        <w:right w:val="none" w:sz="0" w:space="0" w:color="auto"/>
      </w:divBdr>
    </w:div>
    <w:div w:id="651371035">
      <w:bodyDiv w:val="1"/>
      <w:marLeft w:val="0"/>
      <w:marRight w:val="0"/>
      <w:marTop w:val="0"/>
      <w:marBottom w:val="0"/>
      <w:divBdr>
        <w:top w:val="none" w:sz="0" w:space="0" w:color="auto"/>
        <w:left w:val="none" w:sz="0" w:space="0" w:color="auto"/>
        <w:bottom w:val="none" w:sz="0" w:space="0" w:color="auto"/>
        <w:right w:val="none" w:sz="0" w:space="0" w:color="auto"/>
      </w:divBdr>
    </w:div>
    <w:div w:id="873731530">
      <w:bodyDiv w:val="1"/>
      <w:marLeft w:val="0"/>
      <w:marRight w:val="0"/>
      <w:marTop w:val="0"/>
      <w:marBottom w:val="0"/>
      <w:divBdr>
        <w:top w:val="none" w:sz="0" w:space="0" w:color="auto"/>
        <w:left w:val="none" w:sz="0" w:space="0" w:color="auto"/>
        <w:bottom w:val="none" w:sz="0" w:space="0" w:color="auto"/>
        <w:right w:val="none" w:sz="0" w:space="0" w:color="auto"/>
      </w:divBdr>
    </w:div>
    <w:div w:id="907614447">
      <w:bodyDiv w:val="1"/>
      <w:marLeft w:val="0"/>
      <w:marRight w:val="0"/>
      <w:marTop w:val="0"/>
      <w:marBottom w:val="0"/>
      <w:divBdr>
        <w:top w:val="none" w:sz="0" w:space="0" w:color="auto"/>
        <w:left w:val="none" w:sz="0" w:space="0" w:color="auto"/>
        <w:bottom w:val="none" w:sz="0" w:space="0" w:color="auto"/>
        <w:right w:val="none" w:sz="0" w:space="0" w:color="auto"/>
      </w:divBdr>
    </w:div>
    <w:div w:id="1350181668">
      <w:bodyDiv w:val="1"/>
      <w:marLeft w:val="0"/>
      <w:marRight w:val="0"/>
      <w:marTop w:val="0"/>
      <w:marBottom w:val="0"/>
      <w:divBdr>
        <w:top w:val="none" w:sz="0" w:space="0" w:color="auto"/>
        <w:left w:val="none" w:sz="0" w:space="0" w:color="auto"/>
        <w:bottom w:val="none" w:sz="0" w:space="0" w:color="auto"/>
        <w:right w:val="none" w:sz="0" w:space="0" w:color="auto"/>
      </w:divBdr>
    </w:div>
    <w:div w:id="1359042944">
      <w:bodyDiv w:val="1"/>
      <w:marLeft w:val="0"/>
      <w:marRight w:val="0"/>
      <w:marTop w:val="0"/>
      <w:marBottom w:val="0"/>
      <w:divBdr>
        <w:top w:val="none" w:sz="0" w:space="0" w:color="auto"/>
        <w:left w:val="none" w:sz="0" w:space="0" w:color="auto"/>
        <w:bottom w:val="none" w:sz="0" w:space="0" w:color="auto"/>
        <w:right w:val="none" w:sz="0" w:space="0" w:color="auto"/>
      </w:divBdr>
    </w:div>
    <w:div w:id="1546677091">
      <w:bodyDiv w:val="1"/>
      <w:marLeft w:val="0"/>
      <w:marRight w:val="0"/>
      <w:marTop w:val="0"/>
      <w:marBottom w:val="0"/>
      <w:divBdr>
        <w:top w:val="none" w:sz="0" w:space="0" w:color="auto"/>
        <w:left w:val="none" w:sz="0" w:space="0" w:color="auto"/>
        <w:bottom w:val="none" w:sz="0" w:space="0" w:color="auto"/>
        <w:right w:val="none" w:sz="0" w:space="0" w:color="auto"/>
      </w:divBdr>
    </w:div>
    <w:div w:id="1554466296">
      <w:bodyDiv w:val="1"/>
      <w:marLeft w:val="0"/>
      <w:marRight w:val="0"/>
      <w:marTop w:val="0"/>
      <w:marBottom w:val="0"/>
      <w:divBdr>
        <w:top w:val="none" w:sz="0" w:space="0" w:color="auto"/>
        <w:left w:val="none" w:sz="0" w:space="0" w:color="auto"/>
        <w:bottom w:val="none" w:sz="0" w:space="0" w:color="auto"/>
        <w:right w:val="none" w:sz="0" w:space="0" w:color="auto"/>
      </w:divBdr>
    </w:div>
    <w:div w:id="1709724459">
      <w:bodyDiv w:val="1"/>
      <w:marLeft w:val="0"/>
      <w:marRight w:val="0"/>
      <w:marTop w:val="0"/>
      <w:marBottom w:val="0"/>
      <w:divBdr>
        <w:top w:val="none" w:sz="0" w:space="0" w:color="auto"/>
        <w:left w:val="none" w:sz="0" w:space="0" w:color="auto"/>
        <w:bottom w:val="none" w:sz="0" w:space="0" w:color="auto"/>
        <w:right w:val="none" w:sz="0" w:space="0" w:color="auto"/>
      </w:divBdr>
    </w:div>
    <w:div w:id="1924491638">
      <w:bodyDiv w:val="1"/>
      <w:marLeft w:val="0"/>
      <w:marRight w:val="0"/>
      <w:marTop w:val="0"/>
      <w:marBottom w:val="0"/>
      <w:divBdr>
        <w:top w:val="none" w:sz="0" w:space="0" w:color="auto"/>
        <w:left w:val="none" w:sz="0" w:space="0" w:color="auto"/>
        <w:bottom w:val="none" w:sz="0" w:space="0" w:color="auto"/>
        <w:right w:val="none" w:sz="0" w:space="0" w:color="auto"/>
      </w:divBdr>
    </w:div>
    <w:div w:id="21267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3468</Words>
  <Characters>18306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ANEXO</vt:lpstr>
    </vt:vector>
  </TitlesOfParts>
  <Company>xx</Company>
  <LinksUpToDate>false</LinksUpToDate>
  <CharactersWithSpaces>21731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subject/>
  <dc:creator>xx</dc:creator>
  <cp:keywords/>
  <cp:lastModifiedBy>Lohana Arturo</cp:lastModifiedBy>
  <cp:revision>7</cp:revision>
  <cp:lastPrinted>2017-04-24T21:23:00Z</cp:lastPrinted>
  <dcterms:created xsi:type="dcterms:W3CDTF">2017-10-18T14:03:00Z</dcterms:created>
  <dcterms:modified xsi:type="dcterms:W3CDTF">2017-10-26T13:44:00Z</dcterms:modified>
</cp:coreProperties>
</file>