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E630EE">
      <w:pPr>
        <w:pStyle w:val="Textosinformato"/>
        <w:tabs>
          <w:tab w:val="left" w:pos="1843"/>
          <w:tab w:val="left" w:pos="4111"/>
          <w:tab w:val="left" w:pos="7230"/>
        </w:tabs>
        <w:spacing w:line="480" w:lineRule="auto"/>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78559C">
        <w:rPr>
          <w:rFonts w:ascii="Arial" w:hAnsi="Arial" w:cs="Times New Roman"/>
          <w:b/>
          <w:sz w:val="22"/>
          <w:u w:val="single"/>
          <w:lang w:val="es-ES_tradnl" w:eastAsia="es-AR"/>
        </w:rPr>
        <w:t xml:space="preserve"> a la Resolución </w:t>
      </w:r>
      <w:proofErr w:type="spellStart"/>
      <w:r w:rsidR="0078559C">
        <w:rPr>
          <w:rFonts w:ascii="Arial" w:hAnsi="Arial" w:cs="Times New Roman"/>
          <w:b/>
          <w:sz w:val="22"/>
          <w:u w:val="single"/>
          <w:lang w:val="es-ES_tradnl" w:eastAsia="es-AR"/>
        </w:rPr>
        <w:t>ENRE</w:t>
      </w:r>
      <w:proofErr w:type="spellEnd"/>
      <w:r w:rsidR="0078559C">
        <w:rPr>
          <w:rFonts w:ascii="Arial" w:hAnsi="Arial" w:cs="Times New Roman"/>
          <w:b/>
          <w:sz w:val="22"/>
          <w:u w:val="single"/>
          <w:lang w:val="es-ES_tradnl" w:eastAsia="es-AR"/>
        </w:rPr>
        <w:t xml:space="preserve"> Nº </w:t>
      </w:r>
      <w:bookmarkStart w:id="0" w:name="_GoBack"/>
      <w:bookmarkEnd w:id="0"/>
      <w:r w:rsidR="0078559C">
        <w:rPr>
          <w:rFonts w:ascii="Arial" w:hAnsi="Arial" w:cs="Times New Roman"/>
          <w:b/>
          <w:sz w:val="22"/>
          <w:u w:val="single"/>
          <w:lang w:val="es-ES_tradnl" w:eastAsia="es-AR"/>
        </w:rPr>
        <w:t>523</w:t>
      </w:r>
      <w:r w:rsidR="00BE6A37" w:rsidRPr="00CE4F6E">
        <w:rPr>
          <w:rFonts w:ascii="Arial" w:hAnsi="Arial" w:cs="Times New Roman"/>
          <w:b/>
          <w:sz w:val="22"/>
          <w:u w:val="single"/>
          <w:lang w:val="es-ES_tradnl" w:eastAsia="es-AR"/>
        </w:rPr>
        <w:t>/2017</w:t>
      </w:r>
    </w:p>
    <w:p w:rsidR="00CE4F6E" w:rsidRPr="00CE4F6E" w:rsidRDefault="00CE4F6E" w:rsidP="00E630EE">
      <w:pPr>
        <w:pStyle w:val="Textosinformato"/>
        <w:tabs>
          <w:tab w:val="left" w:pos="1843"/>
          <w:tab w:val="left" w:pos="4111"/>
          <w:tab w:val="left" w:pos="7230"/>
        </w:tabs>
        <w:spacing w:line="480" w:lineRule="auto"/>
        <w:jc w:val="both"/>
        <w:rPr>
          <w:rFonts w:ascii="Arial" w:hAnsi="Arial" w:cs="Times New Roman"/>
          <w:b/>
          <w:sz w:val="22"/>
          <w:u w:val="single"/>
          <w:lang w:val="es-ES_tradnl" w:eastAsia="es-AR"/>
        </w:rPr>
      </w:pPr>
    </w:p>
    <w:p w:rsidR="00BE6A37" w:rsidRDefault="00BE6A37" w:rsidP="00881729">
      <w:pPr>
        <w:pStyle w:val="Textosinformato"/>
        <w:tabs>
          <w:tab w:val="left" w:pos="1843"/>
          <w:tab w:val="left" w:pos="4111"/>
          <w:tab w:val="left" w:pos="7230"/>
        </w:tabs>
        <w:jc w:val="both"/>
        <w:rPr>
          <w:rFonts w:ascii="Arial" w:hAnsi="Arial" w:cs="Times New Roman"/>
          <w:b/>
          <w:sz w:val="22"/>
          <w:u w:val="single"/>
          <w:lang w:val="es-ES_tradnl" w:eastAsia="es-AR"/>
        </w:rPr>
      </w:pPr>
      <w:r w:rsidRPr="00DC0AA2">
        <w:rPr>
          <w:rFonts w:ascii="Arial" w:hAnsi="Arial" w:cs="Times New Roman"/>
          <w:b/>
          <w:sz w:val="22"/>
          <w:u w:val="single"/>
          <w:lang w:val="es-ES_tradnl" w:eastAsia="es-AR"/>
        </w:rPr>
        <w:t>Mecanismo de actualización de la remuneración</w:t>
      </w:r>
      <w:r w:rsidR="00BF71E1" w:rsidRPr="00DC0AA2">
        <w:rPr>
          <w:rFonts w:ascii="Arial" w:hAnsi="Arial" w:cs="Times New Roman"/>
          <w:b/>
          <w:sz w:val="22"/>
          <w:u w:val="single"/>
          <w:lang w:val="es-ES_tradnl" w:eastAsia="es-AR"/>
        </w:rPr>
        <w:t xml:space="preserve"> de la Empresa Concesionaria del Servicio Público de Transporte de Energía Eléctrica </w:t>
      </w:r>
      <w:r w:rsidR="00B814FC" w:rsidRPr="00B814FC">
        <w:rPr>
          <w:rFonts w:ascii="Arial" w:hAnsi="Arial" w:cs="Times New Roman"/>
          <w:b/>
          <w:sz w:val="22"/>
          <w:u w:val="single"/>
          <w:lang w:val="es-ES_tradnl" w:eastAsia="es-AR"/>
        </w:rPr>
        <w:t xml:space="preserve">por Distribución Troncal </w:t>
      </w:r>
      <w:r w:rsidR="001B5055">
        <w:rPr>
          <w:rFonts w:ascii="Arial" w:hAnsi="Arial" w:cs="Times New Roman"/>
          <w:b/>
          <w:sz w:val="22"/>
          <w:u w:val="single"/>
          <w:lang w:val="es-ES_tradnl" w:eastAsia="es-AR"/>
        </w:rPr>
        <w:t xml:space="preserve">del </w:t>
      </w:r>
      <w:proofErr w:type="spellStart"/>
      <w:r w:rsidR="003E5BB2">
        <w:rPr>
          <w:rFonts w:ascii="Arial" w:hAnsi="Arial" w:cs="Times New Roman"/>
          <w:b/>
          <w:sz w:val="22"/>
          <w:u w:val="single"/>
          <w:lang w:val="es-ES_tradnl" w:eastAsia="es-AR"/>
        </w:rPr>
        <w:t>Comahu</w:t>
      </w:r>
      <w:r w:rsidR="001B5055">
        <w:rPr>
          <w:rFonts w:ascii="Arial" w:hAnsi="Arial" w:cs="Times New Roman"/>
          <w:b/>
          <w:sz w:val="22"/>
          <w:u w:val="single"/>
          <w:lang w:val="es-ES_tradnl" w:eastAsia="es-AR"/>
        </w:rPr>
        <w:t>e</w:t>
      </w:r>
      <w:proofErr w:type="spellEnd"/>
      <w:r w:rsidR="001B5055">
        <w:rPr>
          <w:rFonts w:ascii="Arial" w:hAnsi="Arial" w:cs="Times New Roman"/>
          <w:b/>
          <w:sz w:val="22"/>
          <w:u w:val="single"/>
          <w:lang w:val="es-ES_tradnl" w:eastAsia="es-AR"/>
        </w:rPr>
        <w:t xml:space="preserve"> (</w:t>
      </w:r>
      <w:proofErr w:type="spellStart"/>
      <w:r w:rsidR="001B5055">
        <w:rPr>
          <w:rFonts w:ascii="Arial" w:hAnsi="Arial" w:cs="Times New Roman"/>
          <w:b/>
          <w:sz w:val="22"/>
          <w:u w:val="single"/>
          <w:lang w:val="es-ES_tradnl" w:eastAsia="es-AR"/>
        </w:rPr>
        <w:t>TRANS</w:t>
      </w:r>
      <w:r w:rsidR="003E5BB2">
        <w:rPr>
          <w:rFonts w:ascii="Arial" w:hAnsi="Arial" w:cs="Times New Roman"/>
          <w:b/>
          <w:sz w:val="22"/>
          <w:u w:val="single"/>
          <w:lang w:val="es-ES_tradnl" w:eastAsia="es-AR"/>
        </w:rPr>
        <w:t>COMAHUE</w:t>
      </w:r>
      <w:proofErr w:type="spellEnd"/>
      <w:r w:rsidR="00B839F1" w:rsidRPr="00B839F1">
        <w:rPr>
          <w:rFonts w:ascii="Arial" w:hAnsi="Arial" w:cs="Times New Roman"/>
          <w:b/>
          <w:sz w:val="22"/>
          <w:u w:val="single"/>
          <w:lang w:val="es-ES_tradnl" w:eastAsia="es-AR"/>
        </w:rPr>
        <w:t xml:space="preserve"> S.A.)</w:t>
      </w:r>
    </w:p>
    <w:p w:rsidR="00B839F1" w:rsidRPr="00B814FC" w:rsidRDefault="00B839F1" w:rsidP="00E630EE">
      <w:pPr>
        <w:pStyle w:val="Textosinformato"/>
        <w:tabs>
          <w:tab w:val="left" w:pos="1843"/>
          <w:tab w:val="left" w:pos="4111"/>
          <w:tab w:val="left" w:pos="7230"/>
        </w:tabs>
        <w:spacing w:line="480" w:lineRule="auto"/>
        <w:jc w:val="both"/>
        <w:rPr>
          <w:rFonts w:ascii="Arial" w:hAnsi="Arial" w:cs="Arial"/>
          <w:lang w:val="es-ES_tradnl"/>
        </w:rPr>
      </w:pPr>
    </w:p>
    <w:p w:rsidR="00BE6A37" w:rsidRDefault="00BE6A37" w:rsidP="00E630EE">
      <w:pPr>
        <w:spacing w:after="0" w:line="48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E630EE">
      <w:pPr>
        <w:spacing w:after="0" w:line="48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Default="00BE6A37" w:rsidP="00E630EE">
      <w:pPr>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881729" w:rsidRPr="003C42AF" w:rsidRDefault="00881729" w:rsidP="00E630EE">
      <w:pPr>
        <w:spacing w:after="0" w:line="480" w:lineRule="auto"/>
        <w:jc w:val="both"/>
        <w:rPr>
          <w:rFonts w:ascii="Arial" w:eastAsia="Times New Roman" w:hAnsi="Arial" w:cs="Arial"/>
          <w:u w:val="single"/>
          <w:lang w:val="es-ES" w:eastAsia="es-ES"/>
        </w:rPr>
      </w:pPr>
    </w:p>
    <w:p w:rsidR="00BE6A37" w:rsidRPr="00BE6A37" w:rsidRDefault="00BE6A37" w:rsidP="00881729">
      <w:pPr>
        <w:pStyle w:val="Prrafodelista"/>
        <w:widowControl w:val="0"/>
        <w:numPr>
          <w:ilvl w:val="0"/>
          <w:numId w:val="3"/>
        </w:numPr>
        <w:spacing w:after="0" w:line="480" w:lineRule="auto"/>
        <w:ind w:left="0" w:firstLine="0"/>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E630EE">
      <w:pPr>
        <w:spacing w:after="0" w:line="480" w:lineRule="auto"/>
        <w:contextualSpacing/>
        <w:jc w:val="both"/>
        <w:rPr>
          <w:rFonts w:ascii="Arial" w:eastAsia="Times New Roman" w:hAnsi="Arial" w:cs="Arial"/>
          <w:lang w:val="es-ES" w:eastAsia="es-ES"/>
        </w:rPr>
      </w:pPr>
    </w:p>
    <w:p w:rsidR="00BE6A37" w:rsidRDefault="00BE6A37" w:rsidP="00E630EE">
      <w:pPr>
        <w:widowControl w:val="0"/>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Default="00B839F1" w:rsidP="00881729">
      <w:pPr>
        <w:pStyle w:val="Prrafodelista"/>
        <w:widowControl w:val="0"/>
        <w:spacing w:before="120" w:after="120" w:line="480" w:lineRule="auto"/>
        <w:ind w:left="0"/>
        <w:jc w:val="both"/>
        <w:rPr>
          <w:rFonts w:ascii="Arial" w:eastAsia="Times New Roman" w:hAnsi="Arial" w:cs="Arial"/>
          <w:lang w:val="en-US" w:eastAsia="es-ES"/>
        </w:rPr>
      </w:pPr>
      <w:proofErr w:type="spellStart"/>
      <w:r w:rsidRPr="00B839F1">
        <w:rPr>
          <w:rFonts w:ascii="Arial" w:eastAsia="Times New Roman" w:hAnsi="Arial" w:cs="Arial"/>
          <w:lang w:val="en-US" w:eastAsia="es-ES"/>
        </w:rPr>
        <w:t>CGn</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w:t>
      </w:r>
      <w:proofErr w:type="spellEnd"/>
      <w:r w:rsidRPr="00B839F1">
        <w:rPr>
          <w:rFonts w:ascii="Arial" w:eastAsia="Times New Roman" w:hAnsi="Arial" w:cs="Arial"/>
          <w:lang w:val="en-US" w:eastAsia="es-ES"/>
        </w:rPr>
        <w:t xml:space="preserve"> * 0</w:t>
      </w:r>
      <w:proofErr w:type="gramStart"/>
      <w:r w:rsidRPr="00B839F1">
        <w:rPr>
          <w:rFonts w:ascii="Arial" w:eastAsia="Times New Roman" w:hAnsi="Arial" w:cs="Arial"/>
          <w:lang w:val="en-US" w:eastAsia="es-ES"/>
        </w:rPr>
        <w:t>,67</w:t>
      </w:r>
      <w:proofErr w:type="gram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IPIMn-i</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IPCn</w:t>
      </w:r>
      <w:proofErr w:type="spellEnd"/>
      <w:r w:rsidRPr="00B839F1">
        <w:rPr>
          <w:rFonts w:ascii="Arial" w:eastAsia="Times New Roman" w:hAnsi="Arial" w:cs="Arial"/>
          <w:lang w:val="en-US" w:eastAsia="es-ES"/>
        </w:rPr>
        <w:t xml:space="preserve"> * 0,33 / </w:t>
      </w:r>
      <w:proofErr w:type="spellStart"/>
      <w:r w:rsidRPr="00B839F1">
        <w:rPr>
          <w:rFonts w:ascii="Arial" w:eastAsia="Times New Roman" w:hAnsi="Arial" w:cs="Arial"/>
          <w:lang w:val="en-US" w:eastAsia="es-ES"/>
        </w:rPr>
        <w:t>IPCn-i</w:t>
      </w:r>
      <w:proofErr w:type="spellEnd"/>
      <w:r w:rsidRPr="00B839F1">
        <w:rPr>
          <w:rFonts w:ascii="Arial" w:eastAsia="Times New Roman" w:hAnsi="Arial" w:cs="Arial"/>
          <w:lang w:val="en-US" w:eastAsia="es-ES"/>
        </w:rPr>
        <w:t>) &gt; = 5%</w:t>
      </w:r>
    </w:p>
    <w:p w:rsidR="00B839F1" w:rsidRDefault="00B839F1" w:rsidP="00881729">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Si </w:t>
      </w: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&lt; 5%, el valor de i se corresponde con la cantidad de semestres necesarios hasta alcanzar dicho valor.</w:t>
      </w:r>
    </w:p>
    <w:p w:rsidR="00B839F1" w:rsidRDefault="00B839F1" w:rsidP="00881729">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881729">
      <w:pPr>
        <w:widowControl w:val="0"/>
        <w:spacing w:before="120" w:after="12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 cláusula gatillo correspondiente al período n (período de 6 (seis) meses).</w:t>
      </w:r>
    </w:p>
    <w:p w:rsidR="00B839F1" w:rsidRPr="00B839F1" w:rsidRDefault="00B839F1" w:rsidP="00881729">
      <w:pPr>
        <w:widowControl w:val="0"/>
        <w:spacing w:before="120" w:after="12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lastRenderedPageBreak/>
        <w:t>IPIMn</w:t>
      </w:r>
      <w:proofErr w:type="spellEnd"/>
      <w:r w:rsidRPr="00B839F1">
        <w:rPr>
          <w:rFonts w:ascii="Arial" w:eastAsia="Times New Roman" w:hAnsi="Arial" w:cs="Arial"/>
          <w:lang w:val="es-ES" w:eastAsia="es-ES"/>
        </w:rPr>
        <w:t>: índice de Precios Internos al por Mayor nivel general (IPIM) publicado por el INDEC correspondiente al mes "m-2", siendo "m" el primer mes del período n (período de 6 (seis) meses).</w:t>
      </w:r>
    </w:p>
    <w:p w:rsidR="00B839F1" w:rsidRPr="00B839F1" w:rsidRDefault="00B839F1" w:rsidP="00881729">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r w:rsidR="00881729" w:rsidRPr="00B839F1">
        <w:rPr>
          <w:rFonts w:ascii="Arial" w:eastAsia="Times New Roman" w:hAnsi="Arial" w:cs="Arial"/>
          <w:lang w:val="es-ES" w:eastAsia="es-ES"/>
        </w:rPr>
        <w:t xml:space="preserve"> </w:t>
      </w:r>
    </w:p>
    <w:p w:rsidR="00B839F1" w:rsidRPr="00B839F1" w:rsidRDefault="00B839F1" w:rsidP="00881729">
      <w:pPr>
        <w:widowControl w:val="0"/>
        <w:spacing w:before="120" w:after="12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 índice de precios al consumidor nivel general (IPC) publicado por el INDEC, correspondiente al mes "m-2", siendo "m" el primer mes del período n (período de 6 (seis) meses).</w:t>
      </w:r>
    </w:p>
    <w:p w:rsidR="00B839F1" w:rsidRPr="00B839F1" w:rsidRDefault="00B839F1" w:rsidP="00881729">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E630EE">
      <w:pPr>
        <w:pStyle w:val="Prrafodelista"/>
        <w:widowControl w:val="0"/>
        <w:spacing w:after="0" w:line="480" w:lineRule="auto"/>
        <w:ind w:left="0"/>
        <w:jc w:val="both"/>
        <w:rPr>
          <w:rFonts w:ascii="Arial" w:eastAsia="Times New Roman" w:hAnsi="Arial" w:cs="Arial"/>
          <w:lang w:val="es-ES" w:eastAsia="es-ES"/>
        </w:rPr>
      </w:pPr>
    </w:p>
    <w:p w:rsidR="00B839F1" w:rsidRDefault="00B839F1" w:rsidP="00E630EE">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Ahora bien, teniendo en cuenta que este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(30%).</w:t>
      </w:r>
    </w:p>
    <w:p w:rsidR="00B839F1" w:rsidRPr="00B839F1" w:rsidRDefault="00B839F1" w:rsidP="00E630EE">
      <w:pPr>
        <w:widowControl w:val="0"/>
        <w:spacing w:after="0" w:line="480" w:lineRule="auto"/>
        <w:jc w:val="both"/>
        <w:rPr>
          <w:rFonts w:ascii="Arial" w:eastAsia="Times New Roman" w:hAnsi="Arial" w:cs="Arial"/>
          <w:lang w:val="es-ES" w:eastAsia="es-ES"/>
        </w:rPr>
      </w:pPr>
    </w:p>
    <w:p w:rsidR="00B839F1" w:rsidRDefault="00B839F1" w:rsidP="00E630EE">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E630EE">
      <w:pPr>
        <w:widowControl w:val="0"/>
        <w:spacing w:after="0" w:line="480" w:lineRule="auto"/>
        <w:jc w:val="both"/>
        <w:rPr>
          <w:rFonts w:ascii="Arial" w:eastAsia="Times New Roman" w:hAnsi="Arial" w:cs="Arial"/>
          <w:lang w:val="es-ES" w:eastAsia="es-ES"/>
        </w:rPr>
      </w:pPr>
    </w:p>
    <w:p w:rsidR="00881729" w:rsidRDefault="00881729" w:rsidP="00E630EE">
      <w:pPr>
        <w:widowControl w:val="0"/>
        <w:spacing w:after="0" w:line="480" w:lineRule="auto"/>
        <w:jc w:val="both"/>
        <w:rPr>
          <w:rFonts w:ascii="Arial" w:eastAsia="Times New Roman" w:hAnsi="Arial" w:cs="Arial"/>
          <w:lang w:val="es-ES" w:eastAsia="es-ES"/>
        </w:rPr>
      </w:pPr>
    </w:p>
    <w:p w:rsidR="00BE6A37" w:rsidRPr="00B839F1" w:rsidRDefault="00BE6A37" w:rsidP="00881729">
      <w:pPr>
        <w:pStyle w:val="Prrafodelista"/>
        <w:widowControl w:val="0"/>
        <w:numPr>
          <w:ilvl w:val="0"/>
          <w:numId w:val="3"/>
        </w:numPr>
        <w:spacing w:after="0" w:line="480" w:lineRule="auto"/>
        <w:ind w:left="0" w:firstLine="0"/>
        <w:jc w:val="both"/>
        <w:rPr>
          <w:rFonts w:ascii="Arial" w:eastAsia="Times New Roman" w:hAnsi="Arial" w:cs="Arial"/>
          <w:b/>
          <w:i/>
          <w:lang w:val="es-ES" w:eastAsia="es-ES"/>
        </w:rPr>
      </w:pPr>
      <w:r w:rsidRPr="00B839F1">
        <w:rPr>
          <w:rFonts w:ascii="Arial" w:eastAsia="Times New Roman" w:hAnsi="Arial" w:cs="Arial"/>
          <w:b/>
          <w:i/>
          <w:lang w:val="es-ES" w:eastAsia="es-ES"/>
        </w:rPr>
        <w:lastRenderedPageBreak/>
        <w:t>Mecanismo de actualización</w:t>
      </w:r>
    </w:p>
    <w:p w:rsidR="00BE6A37" w:rsidRDefault="00BE6A37" w:rsidP="00E630EE">
      <w:pPr>
        <w:widowControl w:val="0"/>
        <w:spacing w:after="0" w:line="480" w:lineRule="auto"/>
        <w:jc w:val="both"/>
        <w:rPr>
          <w:rFonts w:ascii="Arial" w:eastAsia="Times New Roman" w:hAnsi="Arial" w:cs="Arial"/>
          <w:lang w:val="es-ES" w:eastAsia="es-ES"/>
        </w:rPr>
      </w:pPr>
    </w:p>
    <w:p w:rsidR="00BE6A37" w:rsidRPr="003C42AF" w:rsidRDefault="00BE6A37" w:rsidP="00E630EE">
      <w:pPr>
        <w:widowControl w:val="0"/>
        <w:spacing w:after="0" w:line="48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na vez disparada la cláusula gatillo (</w:t>
      </w:r>
      <w:proofErr w:type="spellStart"/>
      <w:r w:rsidRPr="003C42AF">
        <w:rPr>
          <w:rFonts w:ascii="Arial" w:eastAsia="Times New Roman" w:hAnsi="Arial" w:cs="Arial"/>
          <w:lang w:val="es-ES" w:eastAsia="es-ES"/>
        </w:rPr>
        <w:t>CGn</w:t>
      </w:r>
      <w:proofErr w:type="spellEnd"/>
      <w:r w:rsidRPr="003C42AF">
        <w:rPr>
          <w:rFonts w:ascii="Arial" w:eastAsia="Times New Roman" w:hAnsi="Arial" w:cs="Arial"/>
          <w:lang w:val="es-ES" w:eastAsia="es-ES"/>
        </w:rPr>
        <w:t xml:space="preserve">)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E630EE">
      <w:pPr>
        <w:widowControl w:val="0"/>
        <w:spacing w:after="0" w:line="480" w:lineRule="auto"/>
        <w:jc w:val="both"/>
        <w:rPr>
          <w:rFonts w:ascii="Arial" w:eastAsia="Times New Roman" w:hAnsi="Arial" w:cs="Arial"/>
          <w:lang w:val="es-ES" w:eastAsia="es-ES"/>
        </w:rPr>
      </w:pPr>
    </w:p>
    <w:p w:rsidR="001B5055" w:rsidRDefault="001B5055" w:rsidP="00E630EE">
      <w:pPr>
        <w:widowControl w:val="0"/>
        <w:spacing w:after="0" w:line="480" w:lineRule="auto"/>
        <w:jc w:val="both"/>
        <w:rPr>
          <w:rFonts w:ascii="Arial" w:eastAsia="Times New Roman" w:hAnsi="Arial" w:cs="Arial"/>
          <w:lang w:val="es-ES" w:eastAsia="es-ES"/>
        </w:rPr>
      </w:pPr>
      <w:r w:rsidRPr="001B5055">
        <w:rPr>
          <w:rFonts w:ascii="Arial" w:eastAsia="Times New Roman" w:hAnsi="Arial" w:cs="Arial"/>
          <w:lang w:val="es-ES" w:eastAsia="es-ES"/>
        </w:rPr>
        <w:t>Rn = (0,</w:t>
      </w:r>
      <w:r w:rsidR="00600938">
        <w:rPr>
          <w:rFonts w:ascii="Arial" w:eastAsia="Times New Roman" w:hAnsi="Arial" w:cs="Arial"/>
          <w:lang w:val="es-ES" w:eastAsia="es-ES"/>
        </w:rPr>
        <w:t>6769</w:t>
      </w:r>
      <w:r w:rsidRPr="001B5055">
        <w:rPr>
          <w:rFonts w:ascii="Arial" w:eastAsia="Times New Roman" w:hAnsi="Arial" w:cs="Arial"/>
          <w:lang w:val="es-ES" w:eastAsia="es-ES"/>
        </w:rPr>
        <w:t xml:space="preserve"> * </w:t>
      </w:r>
      <w:proofErr w:type="spellStart"/>
      <w:r w:rsidRPr="001B5055">
        <w:rPr>
          <w:rFonts w:ascii="Arial" w:eastAsia="Times New Roman" w:hAnsi="Arial" w:cs="Arial"/>
          <w:lang w:val="es-ES" w:eastAsia="es-ES"/>
        </w:rPr>
        <w:t>ISn</w:t>
      </w:r>
      <w:proofErr w:type="spellEnd"/>
      <w:r w:rsidRPr="001B5055">
        <w:rPr>
          <w:rFonts w:ascii="Arial" w:eastAsia="Times New Roman" w:hAnsi="Arial" w:cs="Arial"/>
          <w:lang w:val="es-ES" w:eastAsia="es-ES"/>
        </w:rPr>
        <w:t>/</w:t>
      </w:r>
      <w:proofErr w:type="spellStart"/>
      <w:r w:rsidRPr="001B5055">
        <w:rPr>
          <w:rFonts w:ascii="Arial" w:eastAsia="Times New Roman" w:hAnsi="Arial" w:cs="Arial"/>
          <w:lang w:val="es-ES" w:eastAsia="es-ES"/>
        </w:rPr>
        <w:t>ISo</w:t>
      </w:r>
      <w:proofErr w:type="spellEnd"/>
      <w:r w:rsidRPr="001B5055">
        <w:rPr>
          <w:rFonts w:ascii="Arial" w:eastAsia="Times New Roman" w:hAnsi="Arial" w:cs="Arial"/>
          <w:lang w:val="es-ES" w:eastAsia="es-ES"/>
        </w:rPr>
        <w:t xml:space="preserve"> + 0,</w:t>
      </w:r>
      <w:r w:rsidR="00600938">
        <w:rPr>
          <w:rFonts w:ascii="Arial" w:eastAsia="Times New Roman" w:hAnsi="Arial" w:cs="Arial"/>
          <w:lang w:val="es-ES" w:eastAsia="es-ES"/>
        </w:rPr>
        <w:t xml:space="preserve">2291 * </w:t>
      </w:r>
      <w:proofErr w:type="spellStart"/>
      <w:r w:rsidR="00600938">
        <w:rPr>
          <w:rFonts w:ascii="Arial" w:eastAsia="Times New Roman" w:hAnsi="Arial" w:cs="Arial"/>
          <w:lang w:val="es-ES" w:eastAsia="es-ES"/>
        </w:rPr>
        <w:t>IPIMDn</w:t>
      </w:r>
      <w:proofErr w:type="spellEnd"/>
      <w:r w:rsidR="00600938">
        <w:rPr>
          <w:rFonts w:ascii="Arial" w:eastAsia="Times New Roman" w:hAnsi="Arial" w:cs="Arial"/>
          <w:lang w:val="es-ES" w:eastAsia="es-ES"/>
        </w:rPr>
        <w:t>/</w:t>
      </w:r>
      <w:proofErr w:type="spellStart"/>
      <w:r w:rsidR="00600938">
        <w:rPr>
          <w:rFonts w:ascii="Arial" w:eastAsia="Times New Roman" w:hAnsi="Arial" w:cs="Arial"/>
          <w:lang w:val="es-ES" w:eastAsia="es-ES"/>
        </w:rPr>
        <w:t>IPIMDo</w:t>
      </w:r>
      <w:proofErr w:type="spellEnd"/>
      <w:r w:rsidR="00600938">
        <w:rPr>
          <w:rFonts w:ascii="Arial" w:eastAsia="Times New Roman" w:hAnsi="Arial" w:cs="Arial"/>
          <w:lang w:val="es-ES" w:eastAsia="es-ES"/>
        </w:rPr>
        <w:t xml:space="preserve"> + 0,094</w:t>
      </w:r>
      <w:r w:rsidRPr="001B5055">
        <w:rPr>
          <w:rFonts w:ascii="Arial" w:eastAsia="Times New Roman" w:hAnsi="Arial" w:cs="Arial"/>
          <w:lang w:val="es-ES" w:eastAsia="es-ES"/>
        </w:rPr>
        <w:t xml:space="preserve">* </w:t>
      </w:r>
      <w:proofErr w:type="spellStart"/>
      <w:r w:rsidRPr="001B5055">
        <w:rPr>
          <w:rFonts w:ascii="Arial" w:eastAsia="Times New Roman" w:hAnsi="Arial" w:cs="Arial"/>
          <w:lang w:val="es-ES" w:eastAsia="es-ES"/>
        </w:rPr>
        <w:t>IPCn</w:t>
      </w:r>
      <w:proofErr w:type="spellEnd"/>
      <w:r w:rsidRPr="001B5055">
        <w:rPr>
          <w:rFonts w:ascii="Arial" w:eastAsia="Times New Roman" w:hAnsi="Arial" w:cs="Arial"/>
          <w:lang w:val="es-ES" w:eastAsia="es-ES"/>
        </w:rPr>
        <w:t>/</w:t>
      </w:r>
      <w:proofErr w:type="spellStart"/>
      <w:r w:rsidRPr="001B5055">
        <w:rPr>
          <w:rFonts w:ascii="Arial" w:eastAsia="Times New Roman" w:hAnsi="Arial" w:cs="Arial"/>
          <w:lang w:val="es-ES" w:eastAsia="es-ES"/>
        </w:rPr>
        <w:t>IPCo</w:t>
      </w:r>
      <w:proofErr w:type="spellEnd"/>
      <w:r w:rsidRPr="001B5055">
        <w:rPr>
          <w:rFonts w:ascii="Arial" w:eastAsia="Times New Roman" w:hAnsi="Arial" w:cs="Arial"/>
          <w:lang w:val="es-ES" w:eastAsia="es-ES"/>
        </w:rPr>
        <w:t>) * Ro</w:t>
      </w:r>
    </w:p>
    <w:p w:rsidR="00B839F1" w:rsidRPr="00B839F1" w:rsidRDefault="00B839F1" w:rsidP="00E630EE">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E630EE">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E630EE">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E630EE">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ISn</w:t>
      </w:r>
      <w:proofErr w:type="spellEnd"/>
      <w:r w:rsidRPr="00B839F1">
        <w:rPr>
          <w:rFonts w:ascii="Arial" w:eastAsia="Times New Roman" w:hAnsi="Arial" w:cs="Arial"/>
          <w:lang w:val="es-ES" w:eastAsia="es-ES"/>
        </w:rPr>
        <w:t>: índice de salarios nivel general (IS) publicado por el INDEC correspondiente al mes "m-2", siendo "m" el primer mes del período n (período de 6 (seis) meses).</w:t>
      </w:r>
    </w:p>
    <w:p w:rsidR="00B839F1" w:rsidRPr="00B839F1" w:rsidRDefault="00B839F1" w:rsidP="00E630EE">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ISo</w:t>
      </w:r>
      <w:proofErr w:type="spellEnd"/>
      <w:r w:rsidRPr="00B839F1">
        <w:rPr>
          <w:rFonts w:ascii="Arial" w:eastAsia="Times New Roman" w:hAnsi="Arial" w:cs="Arial"/>
          <w:lang w:val="es-ES" w:eastAsia="es-ES"/>
        </w:rPr>
        <w:t>: índice de salarios nivel general (IS) publicado por el INDEC, correspondiente al mes "k-2", siendo 'k' el mes de febrero 2017.</w:t>
      </w:r>
    </w:p>
    <w:p w:rsidR="00B839F1" w:rsidRPr="00B839F1" w:rsidRDefault="00B839F1" w:rsidP="00E630EE">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IPIMDn</w:t>
      </w:r>
      <w:proofErr w:type="spellEnd"/>
      <w:r w:rsidRPr="00B839F1">
        <w:rPr>
          <w:rFonts w:ascii="Arial" w:eastAsia="Times New Roman" w:hAnsi="Arial" w:cs="Arial"/>
          <w:lang w:val="es-ES" w:eastAsia="es-ES"/>
        </w:rPr>
        <w:t>: índice de Precios Internos al por Mayor (IPIM), apertura D “Productos Manufacturados” elaborado por el INDEC, correspondiente al mes "m-2", siendo "m" el primer mes del período n (período de 6 (seis) meses).</w:t>
      </w:r>
    </w:p>
    <w:p w:rsidR="00B839F1" w:rsidRPr="00B839F1" w:rsidRDefault="00B839F1" w:rsidP="00E630EE">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IPIMDo</w:t>
      </w:r>
      <w:proofErr w:type="spellEnd"/>
      <w:r w:rsidRPr="00B839F1">
        <w:rPr>
          <w:rFonts w:ascii="Arial" w:eastAsia="Times New Roman" w:hAnsi="Arial" w:cs="Arial"/>
          <w:lang w:val="es-ES" w:eastAsia="es-ES"/>
        </w:rPr>
        <w:t>: índice de Precios Internos al por Mayor (IPIM), apertura D “Productos Manufacturados” elaborado por el INDEC, correspondiente al mes "k-2", siendo 'k' el mes de febrero 2017.</w:t>
      </w:r>
    </w:p>
    <w:p w:rsidR="00B839F1" w:rsidRPr="00B839F1" w:rsidRDefault="00B839F1" w:rsidP="00E630EE">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 índice de precios al consumidor nivel general (IPC) publicado por el INDEC, correspondiente al mes "m-2", siendo "m" el primer mes del período n (período de 6 (seis) meses).</w:t>
      </w:r>
    </w:p>
    <w:p w:rsidR="00B839F1" w:rsidRPr="00B839F1" w:rsidRDefault="00B839F1" w:rsidP="00E630EE">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IPCo</w:t>
      </w:r>
      <w:proofErr w:type="spellEnd"/>
      <w:r w:rsidRPr="00B839F1">
        <w:rPr>
          <w:rFonts w:ascii="Arial" w:eastAsia="Times New Roman" w:hAnsi="Arial" w:cs="Arial"/>
          <w:lang w:val="es-ES" w:eastAsia="es-ES"/>
        </w:rPr>
        <w:t>: índice de precios al consumidor nivel general (IPC) publicado por el INDEC, correspondiente al mes "k-2", siendo "k" el mes de febrero 2017.</w:t>
      </w:r>
    </w:p>
    <w:p w:rsidR="00CD55BD" w:rsidRPr="00562AE4" w:rsidRDefault="00BE6A37" w:rsidP="00E630EE">
      <w:pPr>
        <w:spacing w:after="0" w:line="480" w:lineRule="auto"/>
        <w:jc w:val="both"/>
        <w:rPr>
          <w:rFonts w:ascii="Times New Roman" w:hAnsi="Times New Roman" w:cs="Times New Roman"/>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sectPr w:rsidR="00CD55BD" w:rsidRPr="00562AE4" w:rsidSect="00881729">
      <w:headerReference w:type="default" r:id="rId8"/>
      <w:pgSz w:w="11907" w:h="16839" w:code="9"/>
      <w:pgMar w:top="2268" w:right="708"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29" w:rsidRDefault="00881729" w:rsidP="00881729">
      <w:pPr>
        <w:spacing w:after="0" w:line="240" w:lineRule="auto"/>
      </w:pPr>
      <w:r>
        <w:separator/>
      </w:r>
    </w:p>
  </w:endnote>
  <w:endnote w:type="continuationSeparator" w:id="0">
    <w:p w:rsidR="00881729" w:rsidRDefault="00881729" w:rsidP="008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29" w:rsidRDefault="00881729" w:rsidP="00881729">
      <w:pPr>
        <w:spacing w:after="0" w:line="240" w:lineRule="auto"/>
      </w:pPr>
      <w:r>
        <w:separator/>
      </w:r>
    </w:p>
  </w:footnote>
  <w:footnote w:type="continuationSeparator" w:id="0">
    <w:p w:rsidR="00881729" w:rsidRDefault="00881729" w:rsidP="00881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5E0" w:firstRow="1" w:lastRow="1" w:firstColumn="1" w:lastColumn="1" w:noHBand="0" w:noVBand="1"/>
    </w:tblPr>
    <w:tblGrid>
      <w:gridCol w:w="4536"/>
      <w:gridCol w:w="4928"/>
    </w:tblGrid>
    <w:tr w:rsidR="00881729" w:rsidTr="00881729">
      <w:tc>
        <w:tcPr>
          <w:tcW w:w="4536" w:type="dxa"/>
        </w:tcPr>
        <w:p w:rsidR="00881729" w:rsidRDefault="00881729">
          <w:pPr>
            <w:pStyle w:val="Encabezado"/>
          </w:pPr>
          <w:r>
            <w:rPr>
              <w:noProof/>
              <w:lang w:eastAsia="es-AR"/>
            </w:rPr>
            <w:drawing>
              <wp:inline distT="0" distB="0" distL="0" distR="0">
                <wp:extent cx="1428750" cy="714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881729" w:rsidRDefault="00881729" w:rsidP="00881729">
          <w:pPr>
            <w:pStyle w:val="Encabezado"/>
            <w:jc w:val="right"/>
          </w:pPr>
          <w:r>
            <w:rPr>
              <w:noProof/>
              <w:lang w:eastAsia="es-AR"/>
            </w:rPr>
            <w:drawing>
              <wp:inline distT="0" distB="0" distL="0" distR="0">
                <wp:extent cx="2314575" cy="171450"/>
                <wp:effectExtent l="0" t="0" r="9525" b="0"/>
                <wp:docPr id="4" name="Imagen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881729" w:rsidRDefault="008817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F3498"/>
    <w:rsid w:val="00180EDF"/>
    <w:rsid w:val="001B5055"/>
    <w:rsid w:val="00284C64"/>
    <w:rsid w:val="003E5BB2"/>
    <w:rsid w:val="00562AE4"/>
    <w:rsid w:val="005E3F67"/>
    <w:rsid w:val="00600938"/>
    <w:rsid w:val="00667FF6"/>
    <w:rsid w:val="00783EB6"/>
    <w:rsid w:val="0078559C"/>
    <w:rsid w:val="00881729"/>
    <w:rsid w:val="00904502"/>
    <w:rsid w:val="00B814FC"/>
    <w:rsid w:val="00B839F1"/>
    <w:rsid w:val="00BE6A37"/>
    <w:rsid w:val="00BF71E1"/>
    <w:rsid w:val="00C11AE8"/>
    <w:rsid w:val="00C74679"/>
    <w:rsid w:val="00CD55BD"/>
    <w:rsid w:val="00CE4F6E"/>
    <w:rsid w:val="00D4010A"/>
    <w:rsid w:val="00D6519D"/>
    <w:rsid w:val="00D8583E"/>
    <w:rsid w:val="00DC0AA2"/>
    <w:rsid w:val="00DE70DE"/>
    <w:rsid w:val="00DF027C"/>
    <w:rsid w:val="00E630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881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729"/>
  </w:style>
  <w:style w:type="paragraph" w:styleId="Piedepgina">
    <w:name w:val="footer"/>
    <w:basedOn w:val="Normal"/>
    <w:link w:val="PiedepginaCar"/>
    <w:uiPriority w:val="99"/>
    <w:unhideWhenUsed/>
    <w:rsid w:val="00881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729"/>
  </w:style>
  <w:style w:type="table" w:styleId="Tablaconcuadrcula">
    <w:name w:val="Table Grid"/>
    <w:basedOn w:val="Tablanormal"/>
    <w:uiPriority w:val="59"/>
    <w:rsid w:val="0088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F9BD-29F1-4F3D-AA51-6392EEB2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6</cp:revision>
  <dcterms:created xsi:type="dcterms:W3CDTF">2017-10-25T14:54:00Z</dcterms:created>
  <dcterms:modified xsi:type="dcterms:W3CDTF">2017-10-30T18:56:00Z</dcterms:modified>
</cp:coreProperties>
</file>