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30" w:rsidRDefault="00A15F30" w:rsidP="00A15F30">
      <w:pPr>
        <w:jc w:val="right"/>
        <w:rPr>
          <w:b/>
          <w:sz w:val="28"/>
          <w:szCs w:val="28"/>
        </w:rPr>
      </w:pPr>
    </w:p>
    <w:p w:rsidR="00382A8C" w:rsidRPr="004D3984" w:rsidRDefault="00863169" w:rsidP="004D3984">
      <w:pPr>
        <w:jc w:val="center"/>
        <w:rPr>
          <w:b/>
          <w:sz w:val="28"/>
          <w:szCs w:val="28"/>
        </w:rPr>
      </w:pPr>
      <w:r w:rsidRPr="004D3984">
        <w:rPr>
          <w:b/>
          <w:sz w:val="28"/>
          <w:szCs w:val="28"/>
        </w:rPr>
        <w:t xml:space="preserve">Régimen </w:t>
      </w:r>
      <w:r w:rsidR="004D3984" w:rsidRPr="004D3984">
        <w:rPr>
          <w:b/>
          <w:sz w:val="28"/>
          <w:szCs w:val="28"/>
        </w:rPr>
        <w:t>S</w:t>
      </w:r>
      <w:r w:rsidRPr="004D3984">
        <w:rPr>
          <w:b/>
          <w:sz w:val="28"/>
          <w:szCs w:val="28"/>
        </w:rPr>
        <w:t xml:space="preserve">ancionatorio </w:t>
      </w:r>
      <w:r w:rsidR="00933C63">
        <w:rPr>
          <w:b/>
          <w:sz w:val="28"/>
          <w:szCs w:val="28"/>
        </w:rPr>
        <w:t>por Apartamiento del Plan de I</w:t>
      </w:r>
      <w:r w:rsidR="00806F6B" w:rsidRPr="004D3984">
        <w:rPr>
          <w:b/>
          <w:sz w:val="28"/>
          <w:szCs w:val="28"/>
        </w:rPr>
        <w:t>nversiones</w:t>
      </w:r>
    </w:p>
    <w:p w:rsidR="00F41577" w:rsidRPr="00F41577" w:rsidRDefault="00F41577" w:rsidP="00F41577">
      <w:pPr>
        <w:pStyle w:val="Prrafodelista"/>
        <w:numPr>
          <w:ilvl w:val="0"/>
          <w:numId w:val="32"/>
        </w:numPr>
        <w:spacing w:before="120" w:after="120"/>
        <w:rPr>
          <w:rFonts w:cs="Arial"/>
          <w:b/>
          <w:szCs w:val="22"/>
          <w:lang w:val="es-ES"/>
        </w:rPr>
      </w:pPr>
      <w:r w:rsidRPr="00F41577">
        <w:rPr>
          <w:rFonts w:cs="Arial"/>
          <w:b/>
          <w:szCs w:val="22"/>
          <w:lang w:val="es-ES"/>
        </w:rPr>
        <w:t>Introducción</w:t>
      </w:r>
      <w:bookmarkStart w:id="0" w:name="_GoBack"/>
      <w:bookmarkEnd w:id="0"/>
    </w:p>
    <w:p w:rsidR="00F41577" w:rsidRPr="00F41577" w:rsidRDefault="00F41577" w:rsidP="00F41577">
      <w:pPr>
        <w:spacing w:before="120" w:after="120"/>
        <w:ind w:left="0"/>
        <w:rPr>
          <w:rFonts w:cs="Arial"/>
          <w:szCs w:val="22"/>
          <w:lang w:val="es-ES"/>
        </w:rPr>
      </w:pPr>
      <w:r w:rsidRPr="00F41577">
        <w:rPr>
          <w:rFonts w:cs="Arial"/>
          <w:szCs w:val="22"/>
          <w:lang w:val="es-ES"/>
        </w:rPr>
        <w:t xml:space="preserve">En el punto 2. Fundamentos del ANEXO XVIII “SEGUIMIENTO FISICO DEL PLAN DE INVERSIONES EN EL MARCO DE LA REVISIÓN TARIFARIA INTEGRAL PARA EL PERÍODO 2017-2021” de las Resoluciones ENRE N° 63/2017 y N° 64/2017 se estableció respectivamente para EDENOR S.A. y EDESUR S.A. que “En atención a que resulta necesario que se cumpla con el objetivo planteado en la presente RTI de mejorar los indicadores de la calidad del servicio, el ENTE aplicará sanciones adicionales cuando se determine que la distribuidora ha incumplido con el plan de inversiones informado, o lo ha realizado con demoras significativas. El monto de dichas sanciones será determinado por el ENTE, cuyo máximo resultará de quintuplicar el monto de la diferencia del ingreso tarifario de la concesionaria que surja de la determinación del factor Q real”. </w:t>
      </w:r>
    </w:p>
    <w:p w:rsidR="00F41577" w:rsidRPr="00F41577" w:rsidRDefault="00F41577" w:rsidP="00F41577">
      <w:pPr>
        <w:spacing w:before="120" w:after="120"/>
        <w:ind w:left="0"/>
        <w:rPr>
          <w:rFonts w:cs="Arial"/>
          <w:szCs w:val="22"/>
          <w:lang w:val="es-ES"/>
        </w:rPr>
      </w:pPr>
      <w:r w:rsidRPr="00F41577">
        <w:rPr>
          <w:rFonts w:cs="Arial"/>
          <w:szCs w:val="22"/>
          <w:lang w:val="es-ES"/>
        </w:rPr>
        <w:t>Asimismo, en el Punto 4.1 “Presentación del Plan Anual de Inversiones se determinó que “La distribuidora deberá presentar al ENRE, el último día hábil del mes de diciembre, el plan de inversiones para el año que se inicia, el cual deberá guardar relación con lo informado en su propuesta tarifaria. En el caso de eventuales modificaciones respecto al plan informado en la propuesta tarifaria, la distribuidora deberá informar y justificar dichos cambios”.</w:t>
      </w:r>
    </w:p>
    <w:p w:rsidR="00F41577" w:rsidRPr="00F41577" w:rsidRDefault="00F41577" w:rsidP="00F41577">
      <w:pPr>
        <w:spacing w:before="120" w:after="120"/>
        <w:ind w:left="0"/>
        <w:rPr>
          <w:rFonts w:cs="Arial"/>
          <w:szCs w:val="22"/>
          <w:lang w:val="es-ES"/>
        </w:rPr>
      </w:pPr>
      <w:r w:rsidRPr="00F41577">
        <w:rPr>
          <w:rFonts w:cs="Arial"/>
          <w:szCs w:val="22"/>
          <w:lang w:val="es-ES"/>
        </w:rPr>
        <w:t xml:space="preserve">Por su parte, de acuerdo a lo establecido en el punto 4.6 “Aplicación de sanciones por el Incumplimiento del Plan de Inversiones” del citado ANEXO XVIII, “El ENRE, sobre la base de las verificaciones realizadas y una vez determinado el factor Q, procederá a aplicar las sanciones que correspondan, considerando al efecto el valor del Factor Q real determinado. El monto de estas sanciones las definirá el ENTE en base a los antecedentes del caso, la reincidencia y gravedad de la falta. </w:t>
      </w:r>
    </w:p>
    <w:p w:rsidR="00F41577" w:rsidRPr="00F41577" w:rsidRDefault="00F41577" w:rsidP="00F41577">
      <w:pPr>
        <w:spacing w:before="120" w:after="120"/>
        <w:ind w:left="0"/>
        <w:rPr>
          <w:rFonts w:cs="Arial"/>
          <w:szCs w:val="22"/>
          <w:lang w:val="es-ES"/>
        </w:rPr>
      </w:pPr>
      <w:r w:rsidRPr="00F41577">
        <w:rPr>
          <w:rFonts w:cs="Arial"/>
          <w:szCs w:val="22"/>
          <w:lang w:val="es-ES"/>
        </w:rPr>
        <w:t>En este sentido corresponde anualmente verificar el cumplimiento de plan de inversión anual presentado para cada Distribuidora, como así también, al finalizar cada período tarifario, el cumplimiento del plan de inversiones de la RTI correspondiente a cada una de ellas.</w:t>
      </w:r>
    </w:p>
    <w:p w:rsidR="00F41577" w:rsidRPr="00F41577" w:rsidRDefault="00F41577" w:rsidP="00F41577">
      <w:pPr>
        <w:spacing w:before="120" w:after="120"/>
        <w:ind w:left="0"/>
        <w:rPr>
          <w:rFonts w:cs="Arial"/>
          <w:szCs w:val="22"/>
          <w:lang w:val="es-ES"/>
        </w:rPr>
      </w:pPr>
      <w:r w:rsidRPr="00F41577">
        <w:rPr>
          <w:rFonts w:cs="Arial"/>
          <w:szCs w:val="22"/>
          <w:lang w:val="es-ES"/>
        </w:rPr>
        <w:t>En función de ello, se calcularán los apartamientos entre el Factor Q real que contempla las inversiones realizadas y los Factores Q anual que contempla el plan de inversiones presentado anualmente y el de la RTI.</w:t>
      </w:r>
    </w:p>
    <w:p w:rsidR="00F41577" w:rsidRPr="00F41577" w:rsidRDefault="00F41577" w:rsidP="00F41577">
      <w:pPr>
        <w:spacing w:before="120" w:after="120"/>
        <w:ind w:left="0"/>
        <w:rPr>
          <w:rFonts w:cs="Arial"/>
          <w:szCs w:val="22"/>
          <w:lang w:val="es-ES"/>
        </w:rPr>
      </w:pPr>
      <w:r w:rsidRPr="00F41577">
        <w:rPr>
          <w:rFonts w:cs="Arial"/>
          <w:szCs w:val="22"/>
          <w:lang w:val="es-ES"/>
        </w:rPr>
        <w:t xml:space="preserve">En caso de verificarse apartamientos corresponde, según lo establecido en el ANEXO </w:t>
      </w:r>
      <w:r>
        <w:rPr>
          <w:rFonts w:cs="Arial"/>
          <w:szCs w:val="22"/>
          <w:lang w:val="es-ES"/>
        </w:rPr>
        <w:t>citado</w:t>
      </w:r>
      <w:r w:rsidRPr="00F41577">
        <w:rPr>
          <w:rFonts w:cs="Arial"/>
          <w:szCs w:val="22"/>
          <w:lang w:val="es-ES"/>
        </w:rPr>
        <w:t>, sancionar a las distribuidoras.</w:t>
      </w:r>
    </w:p>
    <w:p w:rsidR="0096400A" w:rsidRDefault="00F41577" w:rsidP="00F41577">
      <w:pPr>
        <w:spacing w:before="120" w:after="120"/>
        <w:ind w:left="0"/>
        <w:rPr>
          <w:rFonts w:cs="Arial"/>
          <w:szCs w:val="22"/>
          <w:lang w:val="es-ES"/>
        </w:rPr>
      </w:pPr>
      <w:r w:rsidRPr="00F41577">
        <w:rPr>
          <w:rFonts w:cs="Arial"/>
          <w:szCs w:val="22"/>
          <w:lang w:val="es-ES"/>
        </w:rPr>
        <w:t>Teniendo en cuenta lo anterior se establece el Régimen Sancionatorio por Apartamiento del Plan de Inversiones.</w:t>
      </w:r>
    </w:p>
    <w:p w:rsidR="00F26D97" w:rsidRPr="00CC705D" w:rsidRDefault="00D45727" w:rsidP="00CC705D">
      <w:pPr>
        <w:pStyle w:val="Prrafodelista"/>
        <w:numPr>
          <w:ilvl w:val="0"/>
          <w:numId w:val="32"/>
        </w:numPr>
        <w:spacing w:before="120" w:after="120"/>
        <w:rPr>
          <w:rFonts w:cs="Arial"/>
          <w:b/>
          <w:szCs w:val="22"/>
          <w:lang w:val="es-ES"/>
        </w:rPr>
      </w:pPr>
      <w:r w:rsidRPr="00CC705D">
        <w:rPr>
          <w:rFonts w:cs="Arial"/>
          <w:b/>
          <w:szCs w:val="22"/>
          <w:lang w:val="es-ES"/>
        </w:rPr>
        <w:t xml:space="preserve"> </w:t>
      </w:r>
      <w:r w:rsidR="00190D83" w:rsidRPr="00CC705D">
        <w:rPr>
          <w:rFonts w:cs="Arial"/>
          <w:b/>
          <w:szCs w:val="22"/>
          <w:lang w:val="es-ES"/>
        </w:rPr>
        <w:t>Sanció</w:t>
      </w:r>
      <w:r w:rsidR="00933C63">
        <w:rPr>
          <w:rFonts w:cs="Arial"/>
          <w:b/>
          <w:szCs w:val="22"/>
          <w:lang w:val="es-ES"/>
        </w:rPr>
        <w:t>n por A</w:t>
      </w:r>
      <w:r w:rsidR="00FA3A94">
        <w:rPr>
          <w:rFonts w:cs="Arial"/>
          <w:b/>
          <w:szCs w:val="22"/>
          <w:lang w:val="es-ES"/>
        </w:rPr>
        <w:t>partamiento del Plan de I</w:t>
      </w:r>
      <w:r w:rsidR="00190D83" w:rsidRPr="00CC705D">
        <w:rPr>
          <w:rFonts w:cs="Arial"/>
          <w:b/>
          <w:szCs w:val="22"/>
          <w:lang w:val="es-ES"/>
        </w:rPr>
        <w:t>nversi</w:t>
      </w:r>
      <w:r w:rsidR="00FA3A94">
        <w:rPr>
          <w:rFonts w:cs="Arial"/>
          <w:b/>
          <w:szCs w:val="22"/>
          <w:lang w:val="es-ES"/>
        </w:rPr>
        <w:t>ones A</w:t>
      </w:r>
      <w:r w:rsidR="00C30EC0" w:rsidRPr="00CC705D">
        <w:rPr>
          <w:rFonts w:cs="Arial"/>
          <w:b/>
          <w:szCs w:val="22"/>
          <w:lang w:val="es-ES"/>
        </w:rPr>
        <w:t>nual</w:t>
      </w:r>
      <w:r w:rsidR="00190D83" w:rsidRPr="00CC705D">
        <w:rPr>
          <w:rFonts w:cs="Arial"/>
          <w:b/>
          <w:szCs w:val="22"/>
          <w:lang w:val="es-ES"/>
        </w:rPr>
        <w:t xml:space="preserve"> (SAPIA)</w:t>
      </w:r>
    </w:p>
    <w:p w:rsidR="003F18E5" w:rsidRDefault="00F41577" w:rsidP="00D2556E">
      <w:pPr>
        <w:spacing w:before="120" w:after="120"/>
        <w:ind w:left="0"/>
        <w:rPr>
          <w:rFonts w:cs="Arial"/>
          <w:szCs w:val="22"/>
          <w:lang w:val="es-ES"/>
        </w:rPr>
      </w:pPr>
      <w:bookmarkStart w:id="1" w:name="OLE_LINK8"/>
      <w:r>
        <w:rPr>
          <w:rFonts w:cs="Arial"/>
          <w:szCs w:val="22"/>
          <w:lang w:val="es-ES"/>
        </w:rPr>
        <w:t>Este</w:t>
      </w:r>
      <w:r w:rsidR="00D2556E" w:rsidRPr="00D2556E">
        <w:rPr>
          <w:rFonts w:cs="Arial"/>
          <w:szCs w:val="22"/>
          <w:lang w:val="es-ES"/>
        </w:rPr>
        <w:t xml:space="preserve"> Régimen contempla la SANCIÓN POR APARTAMIENTO DEL PLAN DE INVERSIÓN ANUAL (SAPIA), calculada como la diferencia entre el Costo Propio de Distribución que se deriva del Factor E que contempla el plan de inversiones presentado por la Distribuidora para el año i (Q con Plan de Inversiones anual) y el Costo propio de distribución, calculado a partir del Factor E que contempla las inversiones realizadas por la Distribuidora en el año i (Q con inversiones realizadas), afectado por un coeficiente Z que tiene en cuenta el nivel de apartamiento entre el Factor Q del año n que se deriva de las inversiones presentadas en el plan anual del año i y el Factor Q del año n que contempla las inversiones realizadas en el año i.</w:t>
      </w:r>
    </w:p>
    <w:p w:rsidR="00190D83" w:rsidRDefault="00FD6EB1" w:rsidP="00D2556E">
      <w:pPr>
        <w:spacing w:before="120" w:after="120"/>
        <w:ind w:left="0"/>
        <w:rPr>
          <w:rFonts w:cs="Arial"/>
          <w:szCs w:val="22"/>
          <w:lang w:val="es-ES"/>
        </w:rPr>
      </w:pPr>
      <w:r>
        <w:rPr>
          <w:rFonts w:cs="Arial"/>
          <w:szCs w:val="22"/>
          <w:lang w:val="es-ES"/>
        </w:rPr>
        <w:lastRenderedPageBreak/>
        <w:t>Siendo i el año del perío</w:t>
      </w:r>
      <w:r w:rsidR="00076DEB">
        <w:rPr>
          <w:rFonts w:cs="Arial"/>
          <w:szCs w:val="22"/>
          <w:lang w:val="es-ES"/>
        </w:rPr>
        <w:t>do tarifario, variando de 1 a 5 y n= i+1</w:t>
      </w:r>
    </w:p>
    <w:p w:rsidR="0060346A" w:rsidRPr="0060346A" w:rsidRDefault="0060346A" w:rsidP="0060346A">
      <w:pPr>
        <w:spacing w:before="120" w:after="120"/>
        <w:ind w:left="0"/>
        <w:jc w:val="center"/>
        <w:rPr>
          <w:rFonts w:cs="Arial"/>
          <w:b/>
          <w:szCs w:val="22"/>
          <w:lang w:val="es-ES"/>
        </w:rPr>
      </w:pPr>
      <w:bookmarkStart w:id="2" w:name="OLE_LINK1"/>
      <w:bookmarkEnd w:id="1"/>
      <w:r w:rsidRPr="0060346A">
        <w:rPr>
          <w:rFonts w:cs="Arial"/>
          <w:b/>
          <w:szCs w:val="22"/>
          <w:lang w:val="es-ES"/>
        </w:rPr>
        <w:t>SAPIA</w:t>
      </w:r>
      <w:r w:rsidR="00DD6838">
        <w:rPr>
          <w:rFonts w:cs="Arial"/>
          <w:b/>
          <w:szCs w:val="22"/>
          <w:vertAlign w:val="superscript"/>
          <w:lang w:val="es-ES"/>
        </w:rPr>
        <w:t>n</w:t>
      </w:r>
      <w:r w:rsidRPr="0060346A">
        <w:rPr>
          <w:rFonts w:cs="Arial"/>
          <w:b/>
          <w:szCs w:val="22"/>
          <w:lang w:val="es-ES"/>
        </w:rPr>
        <w:t>= MAX ((</w:t>
      </w:r>
      <w:r w:rsidRPr="0060346A">
        <w:rPr>
          <w:rFonts w:cs="Arial"/>
          <w:b/>
        </w:rPr>
        <w:t>CPD</w:t>
      </w:r>
      <w:r w:rsidR="00DD6838">
        <w:rPr>
          <w:rFonts w:cs="Arial"/>
          <w:b/>
          <w:vertAlign w:val="superscript"/>
        </w:rPr>
        <w:t>n</w:t>
      </w:r>
      <w:r w:rsidRPr="0060346A">
        <w:rPr>
          <w:rFonts w:cs="Arial"/>
          <w:b/>
        </w:rPr>
        <w:t xml:space="preserve"> </w:t>
      </w:r>
      <w:r w:rsidRPr="0060346A">
        <w:rPr>
          <w:rFonts w:cs="Arial"/>
          <w:b/>
          <w:vertAlign w:val="subscript"/>
        </w:rPr>
        <w:t>FE PI anual</w:t>
      </w:r>
      <w:r w:rsidR="00076DEB">
        <w:rPr>
          <w:rFonts w:cs="Arial"/>
          <w:b/>
          <w:vertAlign w:val="subscript"/>
        </w:rPr>
        <w:t xml:space="preserve"> </w:t>
      </w:r>
      <w:r w:rsidR="00076DEB" w:rsidRPr="00076DEB">
        <w:rPr>
          <w:rFonts w:cs="Arial"/>
          <w:b/>
          <w:vertAlign w:val="superscript"/>
        </w:rPr>
        <w:t>i</w:t>
      </w:r>
      <w:r w:rsidRPr="00076DEB">
        <w:rPr>
          <w:rFonts w:cs="Arial"/>
          <w:b/>
          <w:vertAlign w:val="superscript"/>
        </w:rPr>
        <w:t xml:space="preserve"> </w:t>
      </w:r>
      <w:r w:rsidR="00DD6838">
        <w:rPr>
          <w:rFonts w:cs="Arial"/>
          <w:b/>
        </w:rPr>
        <w:t>–</w:t>
      </w:r>
      <w:r w:rsidRPr="0060346A">
        <w:rPr>
          <w:rFonts w:cs="Arial"/>
          <w:b/>
          <w:vertAlign w:val="subscript"/>
        </w:rPr>
        <w:t xml:space="preserve"> </w:t>
      </w:r>
      <w:r w:rsidRPr="0060346A">
        <w:rPr>
          <w:rFonts w:cs="Arial"/>
          <w:b/>
        </w:rPr>
        <w:t>CPD</w:t>
      </w:r>
      <w:r w:rsidR="00DD6838">
        <w:rPr>
          <w:rFonts w:cs="Arial"/>
          <w:b/>
          <w:vertAlign w:val="superscript"/>
        </w:rPr>
        <w:t>n</w:t>
      </w:r>
      <w:r w:rsidRPr="0060346A">
        <w:rPr>
          <w:rFonts w:cs="Arial"/>
          <w:b/>
        </w:rPr>
        <w:t xml:space="preserve"> </w:t>
      </w:r>
      <w:r w:rsidRPr="0060346A">
        <w:rPr>
          <w:rFonts w:cs="Arial"/>
          <w:b/>
          <w:vertAlign w:val="subscript"/>
        </w:rPr>
        <w:t>FE PI real</w:t>
      </w:r>
      <w:r w:rsidR="00076DEB">
        <w:rPr>
          <w:rFonts w:cs="Arial"/>
          <w:b/>
          <w:vertAlign w:val="subscript"/>
        </w:rPr>
        <w:t xml:space="preserve"> </w:t>
      </w:r>
      <w:r w:rsidR="00076DEB" w:rsidRPr="00076DEB">
        <w:rPr>
          <w:rFonts w:cs="Arial"/>
          <w:b/>
          <w:vertAlign w:val="superscript"/>
        </w:rPr>
        <w:t>i</w:t>
      </w:r>
      <w:r w:rsidRPr="0060346A">
        <w:rPr>
          <w:rFonts w:cs="Arial"/>
          <w:b/>
        </w:rPr>
        <w:t>) * Z; 0)</w:t>
      </w:r>
    </w:p>
    <w:bookmarkEnd w:id="2"/>
    <w:p w:rsidR="00190D83" w:rsidRDefault="00190D83" w:rsidP="00190D83">
      <w:pPr>
        <w:rPr>
          <w:rFonts w:cs="Arial"/>
          <w:i/>
        </w:rPr>
      </w:pPr>
    </w:p>
    <w:p w:rsidR="00190D83" w:rsidRPr="00AE02B1" w:rsidRDefault="00190D83" w:rsidP="00190D83">
      <w:pPr>
        <w:rPr>
          <w:rFonts w:cs="Arial"/>
          <w:i/>
        </w:rPr>
      </w:pPr>
      <w:r w:rsidRPr="00AE02B1">
        <w:rPr>
          <w:rFonts w:cs="Arial"/>
          <w:i/>
        </w:rPr>
        <w:t>Donde:</w:t>
      </w:r>
    </w:p>
    <w:p w:rsidR="00AE02B1" w:rsidRPr="00D31DAE" w:rsidRDefault="00AE02B1" w:rsidP="00190D83">
      <w:pPr>
        <w:rPr>
          <w:rFonts w:cs="Arial"/>
          <w:i/>
        </w:rPr>
      </w:pPr>
    </w:p>
    <w:p w:rsidR="00190D83" w:rsidRPr="00D31DAE" w:rsidRDefault="00190D83" w:rsidP="00190D83">
      <w:pPr>
        <w:rPr>
          <w:rFonts w:cs="Arial"/>
          <w:i/>
        </w:rPr>
      </w:pPr>
      <w:r w:rsidRPr="00DF2F7F">
        <w:rPr>
          <w:rFonts w:cs="Arial"/>
          <w:b/>
          <w:i/>
        </w:rPr>
        <w:t>SAPIA</w:t>
      </w:r>
      <w:r w:rsidR="00FD6EB1" w:rsidRPr="00FD6EB1">
        <w:rPr>
          <w:rFonts w:cs="Arial"/>
          <w:b/>
          <w:i/>
          <w:vertAlign w:val="superscript"/>
        </w:rPr>
        <w:t>n</w:t>
      </w:r>
      <w:r w:rsidRPr="00D31DAE">
        <w:rPr>
          <w:rFonts w:cs="Arial"/>
          <w:i/>
        </w:rPr>
        <w:t>: sanción por apartamiento del Plan de inversión anual</w:t>
      </w:r>
      <w:r w:rsidR="0060346A">
        <w:rPr>
          <w:rFonts w:cs="Arial"/>
          <w:i/>
        </w:rPr>
        <w:t xml:space="preserve"> en el año i</w:t>
      </w:r>
    </w:p>
    <w:p w:rsidR="00525796" w:rsidRDefault="00525796" w:rsidP="00190D83">
      <w:pPr>
        <w:rPr>
          <w:rFonts w:cs="Arial"/>
          <w:b/>
          <w:i/>
        </w:rPr>
      </w:pPr>
    </w:p>
    <w:p w:rsidR="00190D83" w:rsidRDefault="00190D83" w:rsidP="00190D83">
      <w:pPr>
        <w:rPr>
          <w:rFonts w:cs="Arial"/>
          <w:i/>
        </w:rPr>
      </w:pPr>
      <w:r w:rsidRPr="00D31DAE">
        <w:rPr>
          <w:rFonts w:cs="Arial"/>
          <w:b/>
          <w:i/>
        </w:rPr>
        <w:t>CPD</w:t>
      </w:r>
      <w:r w:rsidR="00FD6EB1" w:rsidRPr="00FD6EB1">
        <w:rPr>
          <w:rFonts w:cs="Arial"/>
          <w:b/>
          <w:i/>
          <w:vertAlign w:val="superscript"/>
        </w:rPr>
        <w:t>n</w:t>
      </w:r>
      <w:r w:rsidRPr="00D31DAE">
        <w:rPr>
          <w:rFonts w:cs="Arial"/>
          <w:b/>
          <w:i/>
        </w:rPr>
        <w:t xml:space="preserve"> </w:t>
      </w:r>
      <w:r w:rsidRPr="00D31DAE">
        <w:rPr>
          <w:rFonts w:cs="Arial"/>
          <w:b/>
          <w:i/>
          <w:vertAlign w:val="subscript"/>
        </w:rPr>
        <w:t>FE PI</w:t>
      </w:r>
      <w:r>
        <w:rPr>
          <w:rFonts w:cs="Arial"/>
          <w:b/>
          <w:i/>
          <w:vertAlign w:val="subscript"/>
        </w:rPr>
        <w:t xml:space="preserve"> anual</w:t>
      </w:r>
      <w:r w:rsidR="00F02400">
        <w:rPr>
          <w:rFonts w:cs="Arial"/>
          <w:b/>
          <w:i/>
          <w:vertAlign w:val="subscript"/>
        </w:rPr>
        <w:t xml:space="preserve"> </w:t>
      </w:r>
      <w:r w:rsidR="00F02400" w:rsidRPr="00076DEB">
        <w:rPr>
          <w:rFonts w:cs="Arial"/>
          <w:b/>
          <w:vertAlign w:val="superscript"/>
        </w:rPr>
        <w:t>i</w:t>
      </w:r>
      <w:r w:rsidRPr="00D31DAE">
        <w:rPr>
          <w:rFonts w:cs="Arial"/>
          <w:i/>
        </w:rPr>
        <w:t>:</w:t>
      </w:r>
      <w:r>
        <w:rPr>
          <w:rFonts w:cs="Arial"/>
          <w:i/>
        </w:rPr>
        <w:t xml:space="preserve"> Costo propio de distribución, calculado a partir del Factor E que contempla el plan de inversiones presentado para el año </w:t>
      </w:r>
      <w:r w:rsidR="0099106D">
        <w:rPr>
          <w:rFonts w:cs="Arial"/>
          <w:i/>
        </w:rPr>
        <w:t>i del quinquenio</w:t>
      </w:r>
      <w:r>
        <w:rPr>
          <w:rFonts w:cs="Arial"/>
          <w:i/>
        </w:rPr>
        <w:t xml:space="preserve"> (Q Plan de Inversiones anual). </w:t>
      </w:r>
    </w:p>
    <w:p w:rsidR="00525796" w:rsidRDefault="00525796" w:rsidP="00190D83">
      <w:pPr>
        <w:rPr>
          <w:rFonts w:cs="Arial"/>
          <w:b/>
          <w:i/>
        </w:rPr>
      </w:pPr>
    </w:p>
    <w:p w:rsidR="00190D83" w:rsidRDefault="00190D83" w:rsidP="00190D83">
      <w:pPr>
        <w:rPr>
          <w:rFonts w:cs="Arial"/>
          <w:i/>
        </w:rPr>
      </w:pPr>
      <w:r w:rsidRPr="0099106D">
        <w:rPr>
          <w:rFonts w:cs="Arial"/>
          <w:b/>
          <w:i/>
        </w:rPr>
        <w:t>CPD</w:t>
      </w:r>
      <w:r w:rsidR="00FD6EB1">
        <w:rPr>
          <w:rFonts w:cs="Arial"/>
          <w:b/>
          <w:i/>
          <w:vertAlign w:val="superscript"/>
        </w:rPr>
        <w:t>n</w:t>
      </w:r>
      <w:r w:rsidRPr="0099106D">
        <w:rPr>
          <w:rFonts w:cs="Arial"/>
          <w:b/>
          <w:i/>
        </w:rPr>
        <w:t xml:space="preserve"> </w:t>
      </w:r>
      <w:r w:rsidRPr="0099106D">
        <w:rPr>
          <w:rFonts w:cs="Arial"/>
          <w:b/>
          <w:i/>
          <w:vertAlign w:val="subscript"/>
        </w:rPr>
        <w:t>FE PI real</w:t>
      </w:r>
      <w:r w:rsidR="00F02400" w:rsidRPr="00F02400">
        <w:rPr>
          <w:rFonts w:cs="Arial"/>
          <w:b/>
          <w:vertAlign w:val="superscript"/>
        </w:rPr>
        <w:t xml:space="preserve"> </w:t>
      </w:r>
      <w:r w:rsidR="00F02400" w:rsidRPr="00076DEB">
        <w:rPr>
          <w:rFonts w:cs="Arial"/>
          <w:b/>
          <w:vertAlign w:val="superscript"/>
        </w:rPr>
        <w:t>i</w:t>
      </w:r>
      <w:r w:rsidR="00F02400">
        <w:rPr>
          <w:rFonts w:cs="Arial"/>
          <w:i/>
        </w:rPr>
        <w:t>:</w:t>
      </w:r>
      <w:r>
        <w:rPr>
          <w:rFonts w:cs="Arial"/>
          <w:i/>
        </w:rPr>
        <w:t xml:space="preserve">Costo propio de distribución, calculado a partir del Factor E que contempla </w:t>
      </w:r>
      <w:r w:rsidR="003F18E5">
        <w:rPr>
          <w:rFonts w:cs="Arial"/>
          <w:i/>
        </w:rPr>
        <w:t>las inversiones realizadas</w:t>
      </w:r>
      <w:r>
        <w:rPr>
          <w:rFonts w:cs="Arial"/>
          <w:i/>
        </w:rPr>
        <w:t xml:space="preserve"> en el año </w:t>
      </w:r>
      <w:r w:rsidR="0099106D">
        <w:rPr>
          <w:rFonts w:cs="Arial"/>
          <w:i/>
        </w:rPr>
        <w:t>i del quinquenio</w:t>
      </w:r>
      <w:r>
        <w:rPr>
          <w:rFonts w:cs="Arial"/>
          <w:i/>
        </w:rPr>
        <w:t xml:space="preserve"> (Q Inversiones realizadas). </w:t>
      </w:r>
    </w:p>
    <w:p w:rsidR="00525796" w:rsidRDefault="00525796" w:rsidP="00190D83">
      <w:pPr>
        <w:rPr>
          <w:rFonts w:cs="Arial"/>
          <w:b/>
          <w:i/>
        </w:rPr>
      </w:pPr>
    </w:p>
    <w:p w:rsidR="00190D83" w:rsidRPr="00A47ECB" w:rsidRDefault="00190D83" w:rsidP="00190D83">
      <w:pPr>
        <w:rPr>
          <w:rFonts w:cs="Arial"/>
          <w:i/>
        </w:rPr>
      </w:pPr>
      <w:r w:rsidRPr="00A07062">
        <w:rPr>
          <w:rFonts w:cs="Arial"/>
          <w:b/>
          <w:i/>
        </w:rPr>
        <w:t>Z:</w:t>
      </w:r>
      <w:r>
        <w:rPr>
          <w:rFonts w:cs="Arial"/>
        </w:rPr>
        <w:t xml:space="preserve"> </w:t>
      </w:r>
      <w:r w:rsidRPr="00A47ECB">
        <w:rPr>
          <w:rFonts w:cs="Arial"/>
          <w:i/>
        </w:rPr>
        <w:t xml:space="preserve">coeficiente, cuyo valor varía entre 0 y 5, en función del nivel de apartamiento entre el Factor Q </w:t>
      </w:r>
      <w:r w:rsidR="00076DEB">
        <w:rPr>
          <w:rFonts w:cs="Arial"/>
          <w:i/>
        </w:rPr>
        <w:t xml:space="preserve">del año n </w:t>
      </w:r>
      <w:r w:rsidRPr="00A47ECB">
        <w:rPr>
          <w:rFonts w:cs="Arial"/>
          <w:i/>
        </w:rPr>
        <w:t xml:space="preserve">que se deriva de las inversiones presentadas en el plan anual </w:t>
      </w:r>
      <w:r w:rsidR="00076DEB">
        <w:rPr>
          <w:rFonts w:cs="Arial"/>
          <w:i/>
        </w:rPr>
        <w:t xml:space="preserve">del año i </w:t>
      </w:r>
      <w:r w:rsidRPr="00A47ECB">
        <w:rPr>
          <w:rFonts w:cs="Arial"/>
          <w:i/>
        </w:rPr>
        <w:t xml:space="preserve">y el factor Q </w:t>
      </w:r>
      <w:r w:rsidR="00076DEB">
        <w:rPr>
          <w:rFonts w:cs="Arial"/>
          <w:i/>
        </w:rPr>
        <w:t xml:space="preserve">del año n </w:t>
      </w:r>
      <w:r w:rsidRPr="00A47ECB">
        <w:rPr>
          <w:rFonts w:cs="Arial"/>
          <w:i/>
        </w:rPr>
        <w:t>que contempla las inversiones</w:t>
      </w:r>
      <w:r w:rsidR="00076DEB">
        <w:rPr>
          <w:rFonts w:cs="Arial"/>
          <w:i/>
        </w:rPr>
        <w:t xml:space="preserve"> </w:t>
      </w:r>
      <w:r w:rsidRPr="00A47ECB">
        <w:rPr>
          <w:rFonts w:cs="Arial"/>
          <w:i/>
        </w:rPr>
        <w:t>realizadas</w:t>
      </w:r>
      <w:r w:rsidR="00076DEB">
        <w:rPr>
          <w:rFonts w:cs="Arial"/>
          <w:i/>
        </w:rPr>
        <w:t xml:space="preserve"> en el año i</w:t>
      </w:r>
      <w:r w:rsidRPr="00A47ECB">
        <w:rPr>
          <w:rFonts w:cs="Arial"/>
          <w:i/>
        </w:rPr>
        <w:t>.</w:t>
      </w:r>
    </w:p>
    <w:p w:rsidR="00190D83" w:rsidRDefault="00190D83" w:rsidP="00190D83">
      <w:pPr>
        <w:rPr>
          <w:rFonts w:cs="Arial"/>
        </w:rPr>
      </w:pPr>
    </w:p>
    <w:p w:rsidR="00076DEB" w:rsidRDefault="00190D83" w:rsidP="00190D83">
      <w:pPr>
        <w:rPr>
          <w:rFonts w:cs="Arial"/>
        </w:rPr>
      </w:pPr>
      <w:r>
        <w:rPr>
          <w:rFonts w:cs="Arial"/>
        </w:rPr>
        <w:t>Siendo</w:t>
      </w:r>
      <w:r w:rsidR="00692306">
        <w:rPr>
          <w:rFonts w:cs="Arial"/>
        </w:rPr>
        <w:t xml:space="preserve"> </w:t>
      </w:r>
      <w:r w:rsidR="00076DEB">
        <w:rPr>
          <w:rFonts w:cs="Arial"/>
        </w:rPr>
        <w:t xml:space="preserve"> </w:t>
      </w:r>
    </w:p>
    <w:p w:rsidR="00190D83" w:rsidRPr="008E6BB4" w:rsidRDefault="00190D83" w:rsidP="00190D83">
      <w:pPr>
        <w:jc w:val="center"/>
        <w:rPr>
          <w:rFonts w:cs="Arial"/>
          <w:b/>
        </w:rPr>
      </w:pPr>
      <w:bookmarkStart w:id="3" w:name="OLE_LINK2"/>
      <w:bookmarkStart w:id="4" w:name="OLE_LINK3"/>
      <w:bookmarkStart w:id="5" w:name="OLE_LINK4"/>
      <w:r w:rsidRPr="008E6BB4">
        <w:rPr>
          <w:rFonts w:cs="Arial"/>
          <w:b/>
        </w:rPr>
        <w:t>Ap</w:t>
      </w:r>
      <w:r w:rsidR="00692306" w:rsidRPr="008E6BB4">
        <w:rPr>
          <w:rFonts w:cs="Arial"/>
          <w:b/>
          <w:vertAlign w:val="superscript"/>
        </w:rPr>
        <w:t>n</w:t>
      </w:r>
      <w:r w:rsidRPr="008E6BB4">
        <w:rPr>
          <w:rFonts w:cs="Arial"/>
          <w:b/>
        </w:rPr>
        <w:t xml:space="preserve">= </w:t>
      </w:r>
      <w:r w:rsidR="00C3403C">
        <w:rPr>
          <w:rFonts w:cs="Arial"/>
          <w:b/>
        </w:rPr>
        <w:t>MAX (</w:t>
      </w:r>
      <w:r w:rsidR="00675348" w:rsidRPr="008E6BB4">
        <w:rPr>
          <w:rFonts w:cs="Arial"/>
          <w:b/>
        </w:rPr>
        <w:t>1</w:t>
      </w:r>
      <w:r w:rsidR="00675348" w:rsidRPr="008E6BB4">
        <w:rPr>
          <w:rFonts w:cs="Arial"/>
          <w:b/>
          <w:vertAlign w:val="subscript"/>
        </w:rPr>
        <w:t xml:space="preserve"> </w:t>
      </w:r>
      <w:r w:rsidRPr="008E6BB4">
        <w:rPr>
          <w:rFonts w:cs="Arial"/>
          <w:b/>
        </w:rPr>
        <w:t>-</w:t>
      </w:r>
      <w:r w:rsidR="00675348" w:rsidRPr="008E6BB4">
        <w:rPr>
          <w:rFonts w:cs="Arial"/>
          <w:b/>
        </w:rPr>
        <w:t xml:space="preserve"> </w:t>
      </w:r>
      <w:r w:rsidRPr="008E6BB4">
        <w:rPr>
          <w:rFonts w:cs="Arial"/>
          <w:b/>
        </w:rPr>
        <w:t>FQ</w:t>
      </w:r>
      <w:r w:rsidR="00FD6EB1" w:rsidRPr="008E6BB4">
        <w:rPr>
          <w:rFonts w:cs="Arial"/>
          <w:b/>
          <w:vertAlign w:val="superscript"/>
        </w:rPr>
        <w:t>n</w:t>
      </w:r>
      <w:r w:rsidRPr="008E6BB4">
        <w:rPr>
          <w:rFonts w:cs="Arial"/>
          <w:b/>
        </w:rPr>
        <w:t xml:space="preserve"> </w:t>
      </w:r>
      <w:r w:rsidRPr="008E6BB4">
        <w:rPr>
          <w:rFonts w:cs="Arial"/>
          <w:b/>
          <w:vertAlign w:val="subscript"/>
        </w:rPr>
        <w:t>PI real</w:t>
      </w:r>
      <w:r w:rsidR="00675348" w:rsidRPr="008E6BB4">
        <w:rPr>
          <w:rFonts w:cs="Arial"/>
          <w:b/>
        </w:rPr>
        <w:t xml:space="preserve"> </w:t>
      </w:r>
      <w:r w:rsidR="00076DEB" w:rsidRPr="008E6BB4">
        <w:rPr>
          <w:rFonts w:cs="Arial"/>
          <w:b/>
          <w:vertAlign w:val="superscript"/>
        </w:rPr>
        <w:t>i</w:t>
      </w:r>
      <w:r w:rsidRPr="008E6BB4">
        <w:rPr>
          <w:rFonts w:cs="Arial"/>
          <w:b/>
        </w:rPr>
        <w:t>/</w:t>
      </w:r>
      <w:r w:rsidR="00675348" w:rsidRPr="008E6BB4">
        <w:rPr>
          <w:rFonts w:cs="Arial"/>
          <w:b/>
        </w:rPr>
        <w:t xml:space="preserve"> </w:t>
      </w:r>
      <w:r w:rsidRPr="008E6BB4">
        <w:rPr>
          <w:rFonts w:cs="Arial"/>
          <w:b/>
        </w:rPr>
        <w:t>FQ</w:t>
      </w:r>
      <w:r w:rsidR="00FD6EB1" w:rsidRPr="008E6BB4">
        <w:rPr>
          <w:rFonts w:cs="Arial"/>
          <w:b/>
          <w:vertAlign w:val="superscript"/>
        </w:rPr>
        <w:t>n</w:t>
      </w:r>
      <w:r w:rsidRPr="008E6BB4">
        <w:rPr>
          <w:rFonts w:cs="Arial"/>
          <w:b/>
        </w:rPr>
        <w:t xml:space="preserve"> </w:t>
      </w:r>
      <w:r w:rsidRPr="008E6BB4">
        <w:rPr>
          <w:rFonts w:cs="Arial"/>
          <w:b/>
          <w:vertAlign w:val="subscript"/>
        </w:rPr>
        <w:t>PI anual</w:t>
      </w:r>
      <w:r w:rsidR="00076DEB" w:rsidRPr="008E6BB4">
        <w:rPr>
          <w:rFonts w:cs="Arial"/>
          <w:b/>
          <w:vertAlign w:val="subscript"/>
        </w:rPr>
        <w:t xml:space="preserve"> </w:t>
      </w:r>
      <w:r w:rsidR="00076DEB" w:rsidRPr="008E6BB4">
        <w:rPr>
          <w:rFonts w:cs="Arial"/>
          <w:b/>
          <w:vertAlign w:val="superscript"/>
        </w:rPr>
        <w:t>i</w:t>
      </w:r>
      <w:r w:rsidR="00C3403C" w:rsidRPr="00C3403C">
        <w:rPr>
          <w:rFonts w:cs="Arial"/>
          <w:b/>
        </w:rPr>
        <w:t>; 0)</w:t>
      </w:r>
      <w:r w:rsidR="00C3403C">
        <w:rPr>
          <w:rFonts w:cs="Arial"/>
          <w:b/>
        </w:rPr>
        <w:t xml:space="preserve">, </w:t>
      </w:r>
      <w:r w:rsidR="00FD6EB1" w:rsidRPr="008E6BB4">
        <w:rPr>
          <w:rFonts w:cs="Arial"/>
          <w:b/>
        </w:rPr>
        <w:t>para n=i+1</w:t>
      </w:r>
    </w:p>
    <w:bookmarkEnd w:id="3"/>
    <w:bookmarkEnd w:id="4"/>
    <w:bookmarkEnd w:id="5"/>
    <w:p w:rsidR="00692306" w:rsidRDefault="00692306" w:rsidP="00190D83">
      <w:pPr>
        <w:jc w:val="center"/>
        <w:rPr>
          <w:rFonts w:cs="Arial"/>
        </w:rPr>
      </w:pPr>
    </w:p>
    <w:p w:rsidR="00692306" w:rsidRDefault="00692306" w:rsidP="00692306">
      <w:pPr>
        <w:rPr>
          <w:rFonts w:cs="Arial"/>
        </w:rPr>
      </w:pPr>
      <w:r w:rsidRPr="00692306">
        <w:rPr>
          <w:rFonts w:cs="Arial"/>
          <w:b/>
        </w:rPr>
        <w:t>Ap</w:t>
      </w:r>
      <w:r w:rsidRPr="00692306">
        <w:rPr>
          <w:rFonts w:cs="Arial"/>
          <w:b/>
          <w:vertAlign w:val="superscript"/>
        </w:rPr>
        <w:t>n</w:t>
      </w:r>
      <w:r>
        <w:rPr>
          <w:rFonts w:cs="Arial"/>
          <w:b/>
          <w:vertAlign w:val="superscript"/>
        </w:rPr>
        <w:t xml:space="preserve"> </w:t>
      </w:r>
      <w:r>
        <w:rPr>
          <w:rFonts w:cs="Arial"/>
          <w:b/>
        </w:rPr>
        <w:t xml:space="preserve">: </w:t>
      </w:r>
      <w:r>
        <w:rPr>
          <w:rFonts w:cs="Arial"/>
        </w:rPr>
        <w:t>Apartamiento del Factor Q en el año n</w:t>
      </w:r>
    </w:p>
    <w:p w:rsidR="00F02400" w:rsidRPr="00692306" w:rsidRDefault="00F02400" w:rsidP="00692306">
      <w:pPr>
        <w:rPr>
          <w:rFonts w:cs="Arial"/>
          <w:b/>
        </w:rPr>
      </w:pPr>
    </w:p>
    <w:p w:rsidR="00AE02B1" w:rsidRDefault="00F02400" w:rsidP="00F02400">
      <w:pPr>
        <w:rPr>
          <w:rFonts w:cs="Arial"/>
        </w:rPr>
      </w:pPr>
      <w:r w:rsidRPr="00F02400">
        <w:rPr>
          <w:rFonts w:cs="Arial"/>
          <w:b/>
        </w:rPr>
        <w:t>FQ</w:t>
      </w:r>
      <w:r w:rsidRPr="00F02400">
        <w:rPr>
          <w:rFonts w:cs="Arial"/>
          <w:b/>
          <w:vertAlign w:val="superscript"/>
        </w:rPr>
        <w:t>n</w:t>
      </w:r>
      <w:r w:rsidRPr="00F02400">
        <w:rPr>
          <w:rFonts w:cs="Arial"/>
          <w:b/>
        </w:rPr>
        <w:t xml:space="preserve"> </w:t>
      </w:r>
      <w:r w:rsidRPr="00F02400">
        <w:rPr>
          <w:rFonts w:cs="Arial"/>
          <w:b/>
          <w:vertAlign w:val="subscript"/>
        </w:rPr>
        <w:t>PI real</w:t>
      </w:r>
      <w:r w:rsidRPr="00F02400">
        <w:rPr>
          <w:rFonts w:cs="Arial"/>
          <w:b/>
        </w:rPr>
        <w:t xml:space="preserve"> </w:t>
      </w:r>
      <w:r w:rsidRPr="00F02400">
        <w:rPr>
          <w:rFonts w:cs="Arial"/>
          <w:b/>
          <w:vertAlign w:val="superscript"/>
        </w:rPr>
        <w:t>i</w:t>
      </w:r>
      <w:r w:rsidRPr="00F02400">
        <w:rPr>
          <w:rFonts w:cs="Arial"/>
          <w:b/>
        </w:rPr>
        <w:t>:</w:t>
      </w:r>
      <w:r>
        <w:rPr>
          <w:rFonts w:cs="Arial"/>
        </w:rPr>
        <w:t xml:space="preserve"> Factor Q que contempla el plan de inversión del año i realizadas</w:t>
      </w:r>
    </w:p>
    <w:p w:rsidR="00525796" w:rsidRDefault="00525796" w:rsidP="00F02400">
      <w:pPr>
        <w:rPr>
          <w:rFonts w:cs="Arial"/>
          <w:b/>
        </w:rPr>
      </w:pPr>
    </w:p>
    <w:p w:rsidR="00F02400" w:rsidRDefault="00F02400" w:rsidP="00F02400">
      <w:pPr>
        <w:rPr>
          <w:rFonts w:cs="Arial"/>
        </w:rPr>
      </w:pPr>
      <w:r w:rsidRPr="00F02400">
        <w:rPr>
          <w:rFonts w:cs="Arial"/>
          <w:b/>
        </w:rPr>
        <w:t>FQ</w:t>
      </w:r>
      <w:r w:rsidRPr="00F02400">
        <w:rPr>
          <w:rFonts w:cs="Arial"/>
          <w:b/>
          <w:vertAlign w:val="superscript"/>
        </w:rPr>
        <w:t>n</w:t>
      </w:r>
      <w:r w:rsidRPr="00F02400">
        <w:rPr>
          <w:rFonts w:cs="Arial"/>
          <w:b/>
        </w:rPr>
        <w:t xml:space="preserve"> </w:t>
      </w:r>
      <w:r w:rsidRPr="00F02400">
        <w:rPr>
          <w:rFonts w:cs="Arial"/>
          <w:b/>
          <w:vertAlign w:val="subscript"/>
        </w:rPr>
        <w:t xml:space="preserve">PI anual </w:t>
      </w:r>
      <w:r w:rsidRPr="00F02400">
        <w:rPr>
          <w:rFonts w:cs="Arial"/>
          <w:b/>
          <w:vertAlign w:val="superscript"/>
        </w:rPr>
        <w:t>i</w:t>
      </w:r>
      <w:r w:rsidRPr="00F02400">
        <w:rPr>
          <w:rFonts w:cs="Arial"/>
          <w:b/>
          <w:vertAlign w:val="subscript"/>
        </w:rPr>
        <w:t>:</w:t>
      </w:r>
      <w:r>
        <w:rPr>
          <w:rFonts w:cs="Arial"/>
          <w:vertAlign w:val="subscript"/>
        </w:rPr>
        <w:t xml:space="preserve"> </w:t>
      </w:r>
      <w:r>
        <w:rPr>
          <w:rFonts w:cs="Arial"/>
        </w:rPr>
        <w:t>Factor Q que contempla el plan de inversión presentado por la Distribuidora en el año i.</w:t>
      </w:r>
    </w:p>
    <w:p w:rsidR="00F02400" w:rsidRDefault="00F02400" w:rsidP="00F02400">
      <w:pPr>
        <w:rPr>
          <w:rFonts w:cs="Arial"/>
        </w:rPr>
      </w:pPr>
    </w:p>
    <w:p w:rsidR="00190D83" w:rsidRDefault="00190D83" w:rsidP="00190D83">
      <w:pPr>
        <w:ind w:left="0"/>
        <w:rPr>
          <w:rFonts w:cs="Arial"/>
        </w:rPr>
      </w:pPr>
      <w:r>
        <w:rPr>
          <w:rFonts w:cs="Arial"/>
        </w:rPr>
        <w:t>De acuerdo al nivel de apartamiento, el coeficiente Z adopta los valores que se detallan a continuación.</w:t>
      </w:r>
    </w:p>
    <w:p w:rsidR="00525796" w:rsidRDefault="00525796" w:rsidP="00190D83">
      <w:pPr>
        <w:ind w:left="0"/>
        <w:rPr>
          <w:rFonts w:cs="Arial"/>
        </w:rPr>
      </w:pPr>
    </w:p>
    <w:p w:rsidR="00190D83" w:rsidRDefault="00190D83" w:rsidP="00190D83">
      <w:pPr>
        <w:jc w:val="center"/>
        <w:rPr>
          <w:rFonts w:cs="Arial"/>
        </w:rPr>
      </w:pPr>
      <w:r w:rsidRPr="005722DA">
        <w:rPr>
          <w:noProof/>
          <w:lang w:val="es-AR" w:eastAsia="es-AR"/>
        </w:rPr>
        <w:drawing>
          <wp:inline distT="0" distB="0" distL="0" distR="0" wp14:anchorId="4D5DEA4E" wp14:editId="26F27E3D">
            <wp:extent cx="1823631" cy="2289658"/>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898" cy="2298782"/>
                    </a:xfrm>
                    <a:prstGeom prst="rect">
                      <a:avLst/>
                    </a:prstGeom>
                    <a:noFill/>
                    <a:ln>
                      <a:noFill/>
                    </a:ln>
                  </pic:spPr>
                </pic:pic>
              </a:graphicData>
            </a:graphic>
          </wp:inline>
        </w:drawing>
      </w:r>
    </w:p>
    <w:p w:rsidR="00230B30" w:rsidRDefault="00230B30" w:rsidP="00190D83">
      <w:pPr>
        <w:jc w:val="center"/>
        <w:rPr>
          <w:rFonts w:cs="Arial"/>
        </w:rPr>
      </w:pPr>
    </w:p>
    <w:p w:rsidR="004D3984" w:rsidRPr="00E63227" w:rsidRDefault="004D3984" w:rsidP="004D3984">
      <w:pPr>
        <w:spacing w:before="120" w:after="120"/>
        <w:ind w:left="0"/>
        <w:rPr>
          <w:rFonts w:cs="Arial"/>
        </w:rPr>
      </w:pPr>
      <w:r>
        <w:rPr>
          <w:rFonts w:cs="Arial"/>
        </w:rPr>
        <w:t>C</w:t>
      </w:r>
      <w:r w:rsidRPr="00E63227">
        <w:rPr>
          <w:rFonts w:cs="Arial"/>
        </w:rPr>
        <w:t xml:space="preserve">on el objeto de verificar el cumplimiento de las inversiones del año </w:t>
      </w:r>
      <w:r>
        <w:rPr>
          <w:rFonts w:cs="Arial"/>
        </w:rPr>
        <w:t>5</w:t>
      </w:r>
      <w:r w:rsidRPr="00E63227">
        <w:rPr>
          <w:rFonts w:cs="Arial"/>
        </w:rPr>
        <w:t xml:space="preserve"> es necesario determinar el Factor E (X sin inversiones y Q) del año </w:t>
      </w:r>
      <w:r>
        <w:rPr>
          <w:rFonts w:cs="Arial"/>
        </w:rPr>
        <w:t>6</w:t>
      </w:r>
      <w:r w:rsidRPr="00E63227">
        <w:rPr>
          <w:rFonts w:cs="Arial"/>
        </w:rPr>
        <w:t xml:space="preserve">. Para este cálculo, se replican las condiciones del año </w:t>
      </w:r>
      <w:r>
        <w:rPr>
          <w:rFonts w:cs="Arial"/>
        </w:rPr>
        <w:t>5</w:t>
      </w:r>
      <w:r w:rsidRPr="00E63227">
        <w:rPr>
          <w:rFonts w:cs="Arial"/>
        </w:rPr>
        <w:t xml:space="preserve">, a los efectos de determinar los costos operativos y de capital. En cuanto a la demanda, se estima una tasa de crecimiento equivalente al promedio </w:t>
      </w:r>
      <w:r w:rsidRPr="00E63227">
        <w:rPr>
          <w:rFonts w:cs="Arial"/>
        </w:rPr>
        <w:lastRenderedPageBreak/>
        <w:t>adoptado para el quinquenio.</w:t>
      </w:r>
    </w:p>
    <w:p w:rsidR="004D3984" w:rsidRDefault="004D3984" w:rsidP="004D3984">
      <w:pPr>
        <w:spacing w:before="120" w:after="120"/>
        <w:ind w:left="0"/>
        <w:rPr>
          <w:rFonts w:cs="Arial"/>
        </w:rPr>
      </w:pPr>
      <w:r>
        <w:rPr>
          <w:rFonts w:cs="Arial"/>
        </w:rPr>
        <w:t>Cabe destacar que el cálculo del Factor E para el año 6 es al solo efecto de determinar el cumplimiento del Plan de Inversiones del año 5, no formando parte de la remuneración del año 6, que será determinada en la revisión tarifaria correspondiente al próximo período quinquenal.</w:t>
      </w:r>
    </w:p>
    <w:p w:rsidR="004D3984" w:rsidRDefault="004D3984" w:rsidP="004D3984">
      <w:pPr>
        <w:ind w:left="0"/>
        <w:rPr>
          <w:rFonts w:cs="Arial"/>
        </w:rPr>
      </w:pPr>
      <w:r>
        <w:rPr>
          <w:rFonts w:cs="Arial"/>
        </w:rPr>
        <w:t>Asimismo,</w:t>
      </w:r>
      <w:r w:rsidRPr="00230B30">
        <w:rPr>
          <w:rFonts w:cs="Arial"/>
        </w:rPr>
        <w:t xml:space="preserve"> es necesario determinar el CPD del año 6, en función de que</w:t>
      </w:r>
      <w:r>
        <w:rPr>
          <w:rFonts w:cs="Arial"/>
        </w:rPr>
        <w:t>, como ya se mencionara,</w:t>
      </w:r>
      <w:r w:rsidRPr="00230B30">
        <w:rPr>
          <w:rFonts w:cs="Arial"/>
        </w:rPr>
        <w:t xml:space="preserve"> las inversiones </w:t>
      </w:r>
      <w:r>
        <w:rPr>
          <w:rFonts w:cs="Arial"/>
        </w:rPr>
        <w:t xml:space="preserve">del año 5 </w:t>
      </w:r>
      <w:r w:rsidRPr="00230B30">
        <w:rPr>
          <w:rFonts w:cs="Arial"/>
        </w:rPr>
        <w:t>ingresan al costo de capital una vez que están en servicio, es decir a año vencido.</w:t>
      </w:r>
    </w:p>
    <w:p w:rsidR="004D3984" w:rsidRPr="00230B30" w:rsidRDefault="004D3984" w:rsidP="004D3984">
      <w:pPr>
        <w:ind w:left="0"/>
        <w:rPr>
          <w:rFonts w:cs="Arial"/>
        </w:rPr>
      </w:pPr>
    </w:p>
    <w:p w:rsidR="004D3984" w:rsidRDefault="004D3984" w:rsidP="004D3984">
      <w:pPr>
        <w:ind w:left="0"/>
        <w:rPr>
          <w:rFonts w:cs="Arial"/>
        </w:rPr>
      </w:pPr>
      <w:r w:rsidRPr="00230B30">
        <w:rPr>
          <w:rFonts w:cs="Arial"/>
        </w:rPr>
        <w:t xml:space="preserve">Para realizar dicho cálculo, se </w:t>
      </w:r>
      <w:r>
        <w:rPr>
          <w:rFonts w:cs="Arial"/>
        </w:rPr>
        <w:t>ajustará</w:t>
      </w:r>
      <w:r w:rsidRPr="00230B30">
        <w:rPr>
          <w:rFonts w:cs="Arial"/>
        </w:rPr>
        <w:t xml:space="preserve"> el CPD del año 5, mediante el mecanismo de actualización establecido en el punto C del Subanexo 2 de los Contratos de Concesión, aplicando el E, según corresponda al plan de inversión anual, real o de la RTI.</w:t>
      </w:r>
    </w:p>
    <w:p w:rsidR="004D3984" w:rsidRDefault="004D3984" w:rsidP="004D3984">
      <w:pPr>
        <w:ind w:left="0"/>
        <w:rPr>
          <w:rFonts w:cs="Arial"/>
        </w:rPr>
      </w:pPr>
    </w:p>
    <w:p w:rsidR="004D3984" w:rsidRDefault="004D3984" w:rsidP="004D3984">
      <w:pPr>
        <w:spacing w:before="120" w:after="120"/>
        <w:ind w:left="0"/>
        <w:rPr>
          <w:rFonts w:cs="Arial"/>
        </w:rPr>
      </w:pPr>
      <w:r>
        <w:rPr>
          <w:rFonts w:cs="Arial"/>
        </w:rPr>
        <w:t xml:space="preserve">De esta manera, si las empresas EDENOR SA. y EDESUR S.A. cumplen con el plan de inversiones presentado en la RTI para los años 2017-2021, la evolución del Factor E es la siguiente: </w:t>
      </w:r>
    </w:p>
    <w:p w:rsidR="004D3984" w:rsidRDefault="004D3984" w:rsidP="004D3984">
      <w:pPr>
        <w:spacing w:before="120" w:after="120"/>
        <w:ind w:left="0"/>
        <w:jc w:val="center"/>
        <w:rPr>
          <w:rFonts w:cs="Arial"/>
        </w:rPr>
      </w:pPr>
    </w:p>
    <w:p w:rsidR="004D3984" w:rsidRDefault="004D3984" w:rsidP="004D3984">
      <w:pPr>
        <w:spacing w:before="120" w:after="120"/>
        <w:ind w:left="0"/>
        <w:jc w:val="center"/>
        <w:rPr>
          <w:rFonts w:cs="Arial"/>
        </w:rPr>
      </w:pPr>
      <w:r>
        <w:rPr>
          <w:rFonts w:cs="Arial"/>
        </w:rPr>
        <w:t>EDENOR S.A.</w:t>
      </w:r>
    </w:p>
    <w:p w:rsidR="004D3984" w:rsidRDefault="004D3984" w:rsidP="004D3984">
      <w:pPr>
        <w:spacing w:before="120" w:after="120"/>
        <w:ind w:left="0"/>
        <w:jc w:val="center"/>
        <w:rPr>
          <w:rFonts w:cs="Arial"/>
        </w:rPr>
      </w:pPr>
      <w:r w:rsidRPr="00210CCB">
        <w:rPr>
          <w:noProof/>
          <w:lang w:val="es-AR" w:eastAsia="es-AR"/>
        </w:rPr>
        <w:drawing>
          <wp:inline distT="0" distB="0" distL="0" distR="0" wp14:anchorId="0BCBC70B" wp14:editId="239FB0B0">
            <wp:extent cx="4381805" cy="5799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6688" cy="607103"/>
                    </a:xfrm>
                    <a:prstGeom prst="rect">
                      <a:avLst/>
                    </a:prstGeom>
                    <a:noFill/>
                    <a:ln>
                      <a:noFill/>
                    </a:ln>
                  </pic:spPr>
                </pic:pic>
              </a:graphicData>
            </a:graphic>
          </wp:inline>
        </w:drawing>
      </w:r>
    </w:p>
    <w:p w:rsidR="004D3984" w:rsidRDefault="004D3984" w:rsidP="004D3984">
      <w:pPr>
        <w:spacing w:before="120" w:after="120"/>
        <w:ind w:left="0"/>
        <w:rPr>
          <w:rFonts w:cs="Arial"/>
        </w:rPr>
      </w:pPr>
    </w:p>
    <w:p w:rsidR="004D3984" w:rsidRDefault="004D3984" w:rsidP="004D3984">
      <w:pPr>
        <w:spacing w:before="120" w:after="120"/>
        <w:ind w:left="0"/>
        <w:jc w:val="center"/>
        <w:rPr>
          <w:rFonts w:cs="Arial"/>
        </w:rPr>
      </w:pPr>
      <w:r>
        <w:rPr>
          <w:rFonts w:cs="Arial"/>
        </w:rPr>
        <w:t xml:space="preserve">EDESUR S.A. </w:t>
      </w:r>
    </w:p>
    <w:p w:rsidR="004D3984" w:rsidRDefault="004D3984" w:rsidP="004D3984">
      <w:pPr>
        <w:spacing w:before="120" w:after="120"/>
        <w:ind w:left="0"/>
        <w:jc w:val="center"/>
        <w:rPr>
          <w:rFonts w:cs="Arial"/>
        </w:rPr>
      </w:pPr>
      <w:r w:rsidRPr="00210CCB">
        <w:rPr>
          <w:noProof/>
          <w:lang w:val="es-AR" w:eastAsia="es-AR"/>
        </w:rPr>
        <w:drawing>
          <wp:inline distT="0" distB="0" distL="0" distR="0" wp14:anchorId="404A128D" wp14:editId="74B6710E">
            <wp:extent cx="4272076" cy="64215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2773" cy="658794"/>
                    </a:xfrm>
                    <a:prstGeom prst="rect">
                      <a:avLst/>
                    </a:prstGeom>
                    <a:noFill/>
                    <a:ln>
                      <a:noFill/>
                    </a:ln>
                  </pic:spPr>
                </pic:pic>
              </a:graphicData>
            </a:graphic>
          </wp:inline>
        </w:drawing>
      </w:r>
    </w:p>
    <w:p w:rsidR="004D3984" w:rsidRDefault="004D3984" w:rsidP="00230B30">
      <w:pPr>
        <w:ind w:left="0"/>
        <w:rPr>
          <w:rFonts w:cs="Arial"/>
        </w:rPr>
      </w:pPr>
    </w:p>
    <w:p w:rsidR="004329ED" w:rsidRPr="00CC705D" w:rsidRDefault="00E63227" w:rsidP="00CC705D">
      <w:pPr>
        <w:pStyle w:val="Prrafodelista"/>
        <w:numPr>
          <w:ilvl w:val="0"/>
          <w:numId w:val="32"/>
        </w:numPr>
        <w:spacing w:before="120" w:after="120"/>
        <w:rPr>
          <w:rFonts w:cs="Arial"/>
          <w:b/>
        </w:rPr>
      </w:pPr>
      <w:r w:rsidRPr="00CC705D">
        <w:rPr>
          <w:rFonts w:cs="Arial"/>
          <w:b/>
        </w:rPr>
        <w:t>N</w:t>
      </w:r>
      <w:r w:rsidR="004329ED" w:rsidRPr="00CC705D">
        <w:rPr>
          <w:rFonts w:cs="Arial"/>
          <w:b/>
        </w:rPr>
        <w:t>ivel de cumplimiento del plan quinquenal de inversiones</w:t>
      </w:r>
      <w:r w:rsidR="00AE02B1" w:rsidRPr="00CC705D">
        <w:rPr>
          <w:rFonts w:cs="Arial"/>
          <w:b/>
        </w:rPr>
        <w:t xml:space="preserve"> RTI</w:t>
      </w:r>
    </w:p>
    <w:p w:rsidR="003513BB" w:rsidRDefault="00190D83" w:rsidP="004329ED">
      <w:pPr>
        <w:spacing w:before="120" w:after="120"/>
        <w:ind w:left="0"/>
        <w:rPr>
          <w:rFonts w:cs="Arial"/>
        </w:rPr>
      </w:pPr>
      <w:r>
        <w:rPr>
          <w:rFonts w:cs="Arial"/>
        </w:rPr>
        <w:t xml:space="preserve">Una vez finalizado cada período tarifario, se procederá a verificar el cumplimiento del plan de inversiones </w:t>
      </w:r>
      <w:r w:rsidR="00AE02B1">
        <w:rPr>
          <w:rFonts w:cs="Arial"/>
        </w:rPr>
        <w:t xml:space="preserve">presentado en la RTI para </w:t>
      </w:r>
      <w:r w:rsidR="00D04427">
        <w:rPr>
          <w:rFonts w:cs="Arial"/>
        </w:rPr>
        <w:t xml:space="preserve">el </w:t>
      </w:r>
      <w:r w:rsidR="000D10AE">
        <w:rPr>
          <w:rFonts w:cs="Arial"/>
        </w:rPr>
        <w:t>período tarifario</w:t>
      </w:r>
      <w:r w:rsidR="001B780A">
        <w:rPr>
          <w:rFonts w:cs="Arial"/>
        </w:rPr>
        <w:t xml:space="preserve"> (2017/2021)</w:t>
      </w:r>
      <w:r>
        <w:rPr>
          <w:rFonts w:cs="Arial"/>
        </w:rPr>
        <w:t xml:space="preserve">. </w:t>
      </w:r>
    </w:p>
    <w:p w:rsidR="00AE02B1" w:rsidRDefault="00AE02B1" w:rsidP="00675348">
      <w:pPr>
        <w:ind w:left="0"/>
        <w:rPr>
          <w:rFonts w:cs="Arial"/>
        </w:rPr>
      </w:pPr>
      <w:r>
        <w:rPr>
          <w:rFonts w:cs="Arial"/>
        </w:rPr>
        <w:t>S</w:t>
      </w:r>
      <w:r w:rsidRPr="00AE02B1">
        <w:rPr>
          <w:rFonts w:cs="Arial"/>
        </w:rPr>
        <w:t xml:space="preserve">e define </w:t>
      </w:r>
      <w:r w:rsidR="003F18E5">
        <w:rPr>
          <w:rFonts w:cs="Arial"/>
        </w:rPr>
        <w:t xml:space="preserve">la </w:t>
      </w:r>
      <w:r w:rsidR="003F18E5" w:rsidRPr="003F18E5">
        <w:rPr>
          <w:rFonts w:cs="Arial"/>
        </w:rPr>
        <w:t xml:space="preserve">SANCIÓN DE APARTAMIENTO QUINQUENAL RTI </w:t>
      </w:r>
      <w:r w:rsidR="003F18E5">
        <w:rPr>
          <w:rFonts w:cs="Arial"/>
        </w:rPr>
        <w:t xml:space="preserve">(SAQRTI) </w:t>
      </w:r>
      <w:r w:rsidR="003F18E5" w:rsidRPr="003F18E5">
        <w:rPr>
          <w:rFonts w:cs="Arial"/>
        </w:rPr>
        <w:t>como la diferencia acumulada entre el CPD calculado a partir del Factor E que contempla el plan de inversiones presentado en la RTI para el período tarifario (Q con Plan de Inversiones RTI) y el CPD calculado a partir del Factor E que contempla las inversiones realizadas por la Distribuidora a lo largo del período tarifario (Q con inversiones realizadas) afectado por el apartamiento del Factor Q real respecto del Factor Q de la RTI en el mismo período, neto de las sanciones por apartamiento de los planes de inversión an</w:t>
      </w:r>
      <w:r w:rsidR="003F18E5">
        <w:rPr>
          <w:rFonts w:cs="Arial"/>
        </w:rPr>
        <w:t>uales aplicadas (SAPIA anuales),</w:t>
      </w:r>
      <w:r w:rsidR="009105EF">
        <w:rPr>
          <w:rFonts w:cs="Arial"/>
        </w:rPr>
        <w:t xml:space="preserve"> todo expresado en moneda del año </w:t>
      </w:r>
      <w:r w:rsidR="000D10AE">
        <w:rPr>
          <w:rFonts w:cs="Arial"/>
        </w:rPr>
        <w:t>6</w:t>
      </w:r>
      <w:r w:rsidR="009105EF">
        <w:rPr>
          <w:rFonts w:cs="Arial"/>
        </w:rPr>
        <w:t xml:space="preserve">, </w:t>
      </w:r>
      <w:r w:rsidR="00675348">
        <w:rPr>
          <w:rFonts w:cs="Arial"/>
        </w:rPr>
        <w:t xml:space="preserve">según la siguiente expresión: </w:t>
      </w:r>
    </w:p>
    <w:p w:rsidR="00076DEB" w:rsidRDefault="00076DEB" w:rsidP="00675348">
      <w:pPr>
        <w:ind w:left="0"/>
        <w:rPr>
          <w:rFonts w:cs="Arial"/>
        </w:rPr>
      </w:pPr>
    </w:p>
    <w:p w:rsidR="00076DEB" w:rsidRDefault="00076DEB" w:rsidP="00076DEB">
      <w:pPr>
        <w:spacing w:before="120" w:after="120"/>
        <w:ind w:left="0"/>
        <w:rPr>
          <w:rFonts w:cs="Arial"/>
          <w:szCs w:val="22"/>
          <w:lang w:val="es-ES"/>
        </w:rPr>
      </w:pPr>
      <w:r>
        <w:rPr>
          <w:rFonts w:cs="Arial"/>
          <w:szCs w:val="22"/>
          <w:lang w:val="es-ES"/>
        </w:rPr>
        <w:t>Siendo i el año del período tarifario, variando de 1 a 5 y n= i+1</w:t>
      </w:r>
    </w:p>
    <w:p w:rsidR="00076DEB" w:rsidRDefault="00076DEB" w:rsidP="00675348">
      <w:pPr>
        <w:ind w:left="0"/>
        <w:rPr>
          <w:rFonts w:cs="Arial"/>
        </w:rPr>
      </w:pPr>
    </w:p>
    <w:p w:rsidR="007203E1" w:rsidRPr="007203E1" w:rsidRDefault="00675348" w:rsidP="007203E1">
      <w:pPr>
        <w:spacing w:before="120" w:after="120"/>
        <w:ind w:left="0"/>
        <w:jc w:val="center"/>
        <w:rPr>
          <w:rFonts w:cs="Arial"/>
          <w:i/>
        </w:rPr>
      </w:pPr>
      <w:bookmarkStart w:id="6" w:name="OLE_LINK5"/>
      <w:r w:rsidRPr="00D04427">
        <w:rPr>
          <w:rFonts w:cs="Arial"/>
          <w:b/>
        </w:rPr>
        <w:t>S</w:t>
      </w:r>
      <w:r>
        <w:rPr>
          <w:rFonts w:cs="Arial"/>
          <w:b/>
        </w:rPr>
        <w:t>A</w:t>
      </w:r>
      <w:r w:rsidRPr="00D04427">
        <w:rPr>
          <w:rFonts w:cs="Arial"/>
          <w:b/>
        </w:rPr>
        <w:t>Q</w:t>
      </w:r>
      <w:r>
        <w:rPr>
          <w:rFonts w:cs="Arial"/>
          <w:b/>
        </w:rPr>
        <w:t>RTI</w:t>
      </w:r>
      <w:r w:rsidRPr="00D04427">
        <w:rPr>
          <w:rFonts w:cs="Arial"/>
          <w:b/>
        </w:rPr>
        <w:t xml:space="preserve">= </w:t>
      </w:r>
      <w:r w:rsidR="007203E1">
        <w:rPr>
          <w:rFonts w:cs="Arial"/>
          <w:b/>
        </w:rPr>
        <w:t xml:space="preserve">MAX </w:t>
      </w:r>
      <w:r w:rsidR="00F61463">
        <w:rPr>
          <w:rFonts w:cs="Arial"/>
          <w:b/>
        </w:rPr>
        <w:t>(</w:t>
      </w:r>
      <w:r w:rsidRPr="00D04427">
        <w:rPr>
          <w:rFonts w:cs="Arial"/>
          <w:b/>
        </w:rPr>
        <w:t>Dif</w:t>
      </w:r>
      <w:r>
        <w:rPr>
          <w:rFonts w:cs="Arial"/>
          <w:b/>
        </w:rPr>
        <w:t>C</w:t>
      </w:r>
      <w:r w:rsidRPr="00D04427">
        <w:rPr>
          <w:rFonts w:cs="Arial"/>
          <w:b/>
        </w:rPr>
        <w:t xml:space="preserve">PDQ * </w:t>
      </w:r>
      <w:r>
        <w:rPr>
          <w:rFonts w:cs="Arial"/>
          <w:b/>
        </w:rPr>
        <w:t>ApQ</w:t>
      </w:r>
      <w:r w:rsidR="007203E1">
        <w:rPr>
          <w:rFonts w:cs="Arial"/>
          <w:b/>
        </w:rPr>
        <w:t xml:space="preserve"> – </w:t>
      </w:r>
      <w:r w:rsidR="007203E1">
        <w:rPr>
          <w:rFonts w:cs="Arial"/>
          <w:b/>
          <w:bCs/>
        </w:rPr>
        <w:t xml:space="preserve">∑ </w:t>
      </w:r>
      <w:r w:rsidR="007203E1" w:rsidRPr="00DF2F7F">
        <w:rPr>
          <w:rFonts w:cs="Arial"/>
          <w:b/>
          <w:i/>
        </w:rPr>
        <w:t>SAPIA</w:t>
      </w:r>
      <w:r w:rsidR="00FD6EB1" w:rsidRPr="00FD6EB1">
        <w:rPr>
          <w:rFonts w:cs="Arial"/>
          <w:b/>
          <w:i/>
          <w:vertAlign w:val="superscript"/>
        </w:rPr>
        <w:t>n</w:t>
      </w:r>
      <w:r w:rsidR="00F61463">
        <w:rPr>
          <w:rFonts w:cs="Arial"/>
          <w:b/>
          <w:i/>
        </w:rPr>
        <w:t>; 0)</w:t>
      </w:r>
    </w:p>
    <w:bookmarkEnd w:id="6"/>
    <w:p w:rsidR="00675348" w:rsidRPr="00675348" w:rsidRDefault="00675348" w:rsidP="00B663F8">
      <w:pPr>
        <w:spacing w:before="120" w:after="120"/>
        <w:ind w:left="708"/>
        <w:rPr>
          <w:rFonts w:cs="Arial"/>
        </w:rPr>
      </w:pPr>
      <w:r w:rsidRPr="00675348">
        <w:rPr>
          <w:rFonts w:cs="Arial"/>
        </w:rPr>
        <w:t>Donde,</w:t>
      </w:r>
    </w:p>
    <w:p w:rsidR="00675348" w:rsidRPr="00B663F8" w:rsidRDefault="00675348" w:rsidP="00B663F8">
      <w:pPr>
        <w:spacing w:before="120" w:after="120"/>
        <w:ind w:left="708"/>
        <w:rPr>
          <w:rFonts w:cs="Arial"/>
          <w:i/>
        </w:rPr>
      </w:pPr>
      <w:r w:rsidRPr="00B663F8">
        <w:rPr>
          <w:rFonts w:cs="Arial"/>
          <w:b/>
          <w:i/>
        </w:rPr>
        <w:lastRenderedPageBreak/>
        <w:t>SAQRTI</w:t>
      </w:r>
      <w:r w:rsidRPr="00B663F8">
        <w:rPr>
          <w:rFonts w:cs="Arial"/>
          <w:i/>
        </w:rPr>
        <w:t xml:space="preserve">: sanción por apartamiento </w:t>
      </w:r>
      <w:r w:rsidR="00B663F8" w:rsidRPr="00B663F8">
        <w:rPr>
          <w:rFonts w:cs="Arial"/>
          <w:i/>
        </w:rPr>
        <w:t xml:space="preserve">del plan </w:t>
      </w:r>
      <w:r w:rsidRPr="00B663F8">
        <w:rPr>
          <w:rFonts w:cs="Arial"/>
          <w:i/>
        </w:rPr>
        <w:t xml:space="preserve">quinquenal </w:t>
      </w:r>
      <w:r w:rsidR="00B663F8" w:rsidRPr="00B663F8">
        <w:rPr>
          <w:rFonts w:cs="Arial"/>
          <w:i/>
        </w:rPr>
        <w:t xml:space="preserve">de inversiones </w:t>
      </w:r>
      <w:r w:rsidRPr="00B663F8">
        <w:rPr>
          <w:rFonts w:cs="Arial"/>
          <w:i/>
        </w:rPr>
        <w:t>de la RTI</w:t>
      </w:r>
      <w:r w:rsidR="00FD6EB1">
        <w:rPr>
          <w:rFonts w:cs="Arial"/>
          <w:i/>
        </w:rPr>
        <w:t>.</w:t>
      </w:r>
    </w:p>
    <w:p w:rsidR="00675348" w:rsidRPr="00B663F8" w:rsidRDefault="00675348" w:rsidP="00B663F8">
      <w:pPr>
        <w:spacing w:before="120" w:after="120"/>
        <w:ind w:left="708"/>
        <w:rPr>
          <w:rFonts w:cs="Arial"/>
          <w:i/>
        </w:rPr>
      </w:pPr>
      <w:r w:rsidRPr="00B663F8">
        <w:rPr>
          <w:rFonts w:cs="Arial"/>
          <w:b/>
          <w:i/>
        </w:rPr>
        <w:t>DifCPDQ</w:t>
      </w:r>
      <w:r w:rsidR="00B663F8" w:rsidRPr="00B663F8">
        <w:rPr>
          <w:rFonts w:cs="Arial"/>
          <w:i/>
        </w:rPr>
        <w:t xml:space="preserve">: Diferencia </w:t>
      </w:r>
      <w:r w:rsidR="000D10AE">
        <w:rPr>
          <w:rFonts w:cs="Arial"/>
          <w:i/>
        </w:rPr>
        <w:t xml:space="preserve">acumulada </w:t>
      </w:r>
      <w:r w:rsidR="00B663F8" w:rsidRPr="00B663F8">
        <w:rPr>
          <w:rFonts w:cs="Arial"/>
          <w:i/>
        </w:rPr>
        <w:t>del CPD</w:t>
      </w:r>
      <w:r w:rsidR="000D10AE">
        <w:rPr>
          <w:rFonts w:cs="Arial"/>
          <w:i/>
        </w:rPr>
        <w:t xml:space="preserve"> en el período n</w:t>
      </w:r>
      <w:r w:rsidR="00076DEB">
        <w:rPr>
          <w:rFonts w:cs="Arial"/>
          <w:i/>
        </w:rPr>
        <w:t>=i+1</w:t>
      </w:r>
      <w:r w:rsidR="00B663F8" w:rsidRPr="00B663F8">
        <w:rPr>
          <w:rFonts w:cs="Arial"/>
          <w:i/>
        </w:rPr>
        <w:t xml:space="preserve">. </w:t>
      </w:r>
    </w:p>
    <w:p w:rsidR="00675348" w:rsidRPr="00B663F8" w:rsidRDefault="00675348" w:rsidP="00B663F8">
      <w:pPr>
        <w:spacing w:before="120" w:after="120"/>
        <w:ind w:left="708"/>
        <w:rPr>
          <w:rFonts w:cs="Arial"/>
          <w:i/>
        </w:rPr>
      </w:pPr>
      <w:r w:rsidRPr="00B663F8">
        <w:rPr>
          <w:rFonts w:cs="Arial"/>
          <w:b/>
          <w:i/>
        </w:rPr>
        <w:t>ApQ</w:t>
      </w:r>
      <w:r w:rsidR="00B663F8" w:rsidRPr="00B663F8">
        <w:rPr>
          <w:rFonts w:cs="Arial"/>
          <w:i/>
        </w:rPr>
        <w:t>: apartamiento en el quinquenio del Factor Q</w:t>
      </w:r>
      <w:r w:rsidR="00B663F8">
        <w:rPr>
          <w:rFonts w:cs="Arial"/>
          <w:i/>
        </w:rPr>
        <w:t>.</w:t>
      </w:r>
    </w:p>
    <w:p w:rsidR="00B663F8" w:rsidRDefault="00B663F8" w:rsidP="00B663F8">
      <w:pPr>
        <w:spacing w:before="120" w:after="120"/>
        <w:ind w:left="708"/>
        <w:rPr>
          <w:rFonts w:cs="Arial"/>
        </w:rPr>
      </w:pPr>
      <w:r>
        <w:rPr>
          <w:rFonts w:cs="Arial"/>
        </w:rPr>
        <w:t>Siendo:</w:t>
      </w:r>
    </w:p>
    <w:p w:rsidR="0032154C" w:rsidRPr="008E6BB4" w:rsidRDefault="0032154C" w:rsidP="0032154C">
      <w:pPr>
        <w:spacing w:before="120" w:after="120"/>
        <w:ind w:left="0"/>
        <w:jc w:val="center"/>
        <w:rPr>
          <w:rFonts w:cs="Arial"/>
          <w:b/>
        </w:rPr>
      </w:pPr>
      <w:bookmarkStart w:id="7" w:name="OLE_LINK6"/>
      <w:r w:rsidRPr="008E6BB4">
        <w:rPr>
          <w:rFonts w:cs="Arial"/>
          <w:b/>
          <w:bCs/>
        </w:rPr>
        <w:t>DifCPDQ= ∑ (CPD</w:t>
      </w:r>
      <w:r w:rsidR="00FD6EB1" w:rsidRPr="008E6BB4">
        <w:rPr>
          <w:rFonts w:cs="Arial"/>
          <w:b/>
          <w:bCs/>
          <w:vertAlign w:val="superscript"/>
        </w:rPr>
        <w:t>n</w:t>
      </w:r>
      <w:r w:rsidRPr="008E6BB4">
        <w:rPr>
          <w:rFonts w:cs="Arial"/>
          <w:b/>
          <w:bCs/>
          <w:vertAlign w:val="subscript"/>
        </w:rPr>
        <w:t xml:space="preserve"> FE PI RTI</w:t>
      </w:r>
      <w:r w:rsidR="00692306" w:rsidRPr="008E6BB4">
        <w:rPr>
          <w:rFonts w:cs="Arial"/>
          <w:b/>
          <w:bCs/>
          <w:vertAlign w:val="subscript"/>
        </w:rPr>
        <w:t xml:space="preserve"> </w:t>
      </w:r>
      <w:r w:rsidR="00692306" w:rsidRPr="008E6BB4">
        <w:rPr>
          <w:rFonts w:cs="Arial"/>
          <w:b/>
          <w:bCs/>
          <w:vertAlign w:val="superscript"/>
        </w:rPr>
        <w:t>i</w:t>
      </w:r>
      <w:r w:rsidRPr="008E6BB4">
        <w:rPr>
          <w:rFonts w:cs="Arial"/>
          <w:b/>
          <w:bCs/>
          <w:vertAlign w:val="subscript"/>
        </w:rPr>
        <w:t xml:space="preserve"> </w:t>
      </w:r>
      <w:r w:rsidR="00FD6EB1" w:rsidRPr="008E6BB4">
        <w:rPr>
          <w:rFonts w:cs="Arial"/>
          <w:b/>
          <w:bCs/>
        </w:rPr>
        <w:t>–</w:t>
      </w:r>
      <w:r w:rsidRPr="008E6BB4">
        <w:rPr>
          <w:rFonts w:cs="Arial"/>
          <w:b/>
          <w:bCs/>
        </w:rPr>
        <w:t xml:space="preserve"> CPD</w:t>
      </w:r>
      <w:r w:rsidR="00FD6EB1" w:rsidRPr="008E6BB4">
        <w:rPr>
          <w:rFonts w:cs="Arial"/>
          <w:b/>
          <w:bCs/>
          <w:vertAlign w:val="superscript"/>
        </w:rPr>
        <w:t>n</w:t>
      </w:r>
      <w:r w:rsidRPr="008E6BB4">
        <w:rPr>
          <w:rFonts w:cs="Arial"/>
          <w:b/>
          <w:bCs/>
          <w:vertAlign w:val="subscript"/>
        </w:rPr>
        <w:t xml:space="preserve"> FE PI real</w:t>
      </w:r>
      <w:r w:rsidR="00692306" w:rsidRPr="008E6BB4">
        <w:rPr>
          <w:rFonts w:cs="Arial"/>
          <w:b/>
          <w:bCs/>
          <w:vertAlign w:val="subscript"/>
        </w:rPr>
        <w:t xml:space="preserve"> </w:t>
      </w:r>
      <w:r w:rsidR="00692306" w:rsidRPr="008E6BB4">
        <w:rPr>
          <w:rFonts w:cs="Arial"/>
          <w:b/>
          <w:bCs/>
          <w:vertAlign w:val="superscript"/>
        </w:rPr>
        <w:t>i</w:t>
      </w:r>
      <w:r w:rsidRPr="008E6BB4">
        <w:rPr>
          <w:rFonts w:cs="Arial"/>
          <w:b/>
          <w:bCs/>
        </w:rPr>
        <w:t>)</w:t>
      </w:r>
      <w:r w:rsidR="0099106D" w:rsidRPr="008E6BB4">
        <w:rPr>
          <w:rFonts w:cs="Arial"/>
          <w:b/>
          <w:bCs/>
        </w:rPr>
        <w:t xml:space="preserve">, para </w:t>
      </w:r>
      <w:r w:rsidR="00FD6EB1" w:rsidRPr="008E6BB4">
        <w:rPr>
          <w:rFonts w:cs="Arial"/>
          <w:b/>
          <w:bCs/>
        </w:rPr>
        <w:t>n</w:t>
      </w:r>
      <w:r w:rsidR="0099106D" w:rsidRPr="008E6BB4">
        <w:rPr>
          <w:rFonts w:cs="Arial"/>
          <w:b/>
          <w:bCs/>
        </w:rPr>
        <w:t xml:space="preserve">= </w:t>
      </w:r>
      <w:r w:rsidR="00FD6EB1" w:rsidRPr="008E6BB4">
        <w:rPr>
          <w:rFonts w:cs="Arial"/>
          <w:b/>
          <w:bCs/>
        </w:rPr>
        <w:t>i+1</w:t>
      </w:r>
    </w:p>
    <w:bookmarkEnd w:id="7"/>
    <w:p w:rsidR="0032154C" w:rsidRDefault="0032154C" w:rsidP="00AE02B1">
      <w:pPr>
        <w:spacing w:before="120" w:after="120"/>
        <w:ind w:left="0"/>
        <w:jc w:val="center"/>
        <w:rPr>
          <w:rFonts w:cs="Arial"/>
          <w:b/>
        </w:rPr>
      </w:pPr>
    </w:p>
    <w:p w:rsidR="0099106D" w:rsidRPr="00AE02B1" w:rsidRDefault="0099106D" w:rsidP="0099106D">
      <w:pPr>
        <w:rPr>
          <w:rFonts w:cs="Arial"/>
          <w:b/>
          <w:i/>
        </w:rPr>
      </w:pPr>
      <w:r w:rsidRPr="00AE02B1">
        <w:rPr>
          <w:rFonts w:cs="Arial"/>
          <w:b/>
          <w:i/>
        </w:rPr>
        <w:t>CP</w:t>
      </w:r>
      <w:r w:rsidRPr="00FD6EB1">
        <w:rPr>
          <w:rFonts w:cs="Arial"/>
          <w:b/>
          <w:i/>
        </w:rPr>
        <w:t>D</w:t>
      </w:r>
      <w:r w:rsidR="00FD6EB1" w:rsidRPr="00FD6EB1">
        <w:rPr>
          <w:rFonts w:cs="Arial"/>
          <w:b/>
          <w:i/>
          <w:vertAlign w:val="superscript"/>
        </w:rPr>
        <w:t>n</w:t>
      </w:r>
      <w:r w:rsidRPr="00AE02B1">
        <w:rPr>
          <w:rFonts w:cs="Arial"/>
          <w:b/>
          <w:i/>
        </w:rPr>
        <w:t xml:space="preserve"> </w:t>
      </w:r>
      <w:r w:rsidRPr="00AE02B1">
        <w:rPr>
          <w:rFonts w:cs="Arial"/>
          <w:b/>
          <w:i/>
          <w:vertAlign w:val="subscript"/>
        </w:rPr>
        <w:t>FE PI rti</w:t>
      </w:r>
      <w:r w:rsidR="00692306">
        <w:rPr>
          <w:rFonts w:cs="Arial"/>
          <w:b/>
          <w:i/>
          <w:vertAlign w:val="subscript"/>
        </w:rPr>
        <w:t xml:space="preserve"> </w:t>
      </w:r>
      <w:r w:rsidR="00692306" w:rsidRPr="00692306">
        <w:rPr>
          <w:rFonts w:cs="Arial"/>
          <w:b/>
          <w:i/>
          <w:vertAlign w:val="superscript"/>
        </w:rPr>
        <w:t>i</w:t>
      </w:r>
      <w:r w:rsidRPr="00AE02B1">
        <w:rPr>
          <w:rFonts w:cs="Arial"/>
          <w:b/>
          <w:i/>
        </w:rPr>
        <w:t xml:space="preserve">: </w:t>
      </w:r>
      <w:r w:rsidRPr="00AE02B1">
        <w:rPr>
          <w:rFonts w:cs="Arial"/>
          <w:i/>
        </w:rPr>
        <w:t xml:space="preserve">Costo propio de distribución, calculado a partir del Factor E que contempla el plan de inversiones </w:t>
      </w:r>
      <w:r>
        <w:rPr>
          <w:rFonts w:cs="Arial"/>
          <w:i/>
        </w:rPr>
        <w:t>presentado</w:t>
      </w:r>
      <w:r w:rsidRPr="00AE02B1">
        <w:rPr>
          <w:rFonts w:cs="Arial"/>
          <w:i/>
        </w:rPr>
        <w:t xml:space="preserve"> en la RTI para el año </w:t>
      </w:r>
      <w:r>
        <w:rPr>
          <w:rFonts w:cs="Arial"/>
          <w:i/>
        </w:rPr>
        <w:t>i</w:t>
      </w:r>
      <w:r w:rsidRPr="00AE02B1">
        <w:rPr>
          <w:rFonts w:cs="Arial"/>
          <w:i/>
        </w:rPr>
        <w:t xml:space="preserve"> </w:t>
      </w:r>
      <w:r>
        <w:rPr>
          <w:rFonts w:cs="Arial"/>
          <w:i/>
        </w:rPr>
        <w:t xml:space="preserve">del quinquenio </w:t>
      </w:r>
      <w:r w:rsidRPr="00AE02B1">
        <w:rPr>
          <w:rFonts w:cs="Arial"/>
          <w:i/>
        </w:rPr>
        <w:t>(Q Plan de Inversiones RTI)</w:t>
      </w:r>
    </w:p>
    <w:p w:rsidR="0099106D" w:rsidRDefault="00A45E7D" w:rsidP="00A45E7D">
      <w:pPr>
        <w:spacing w:before="120" w:after="120"/>
        <w:rPr>
          <w:rFonts w:cs="Arial"/>
        </w:rPr>
      </w:pPr>
      <w:r>
        <w:rPr>
          <w:rFonts w:cs="Arial"/>
        </w:rPr>
        <w:t xml:space="preserve">El valor de </w:t>
      </w:r>
      <w:r w:rsidR="0099106D" w:rsidRPr="00A45E7D">
        <w:rPr>
          <w:rFonts w:cs="Arial"/>
          <w:b/>
        </w:rPr>
        <w:t>DifCPDQ</w:t>
      </w:r>
      <w:r w:rsidR="0099106D">
        <w:rPr>
          <w:rFonts w:cs="Arial"/>
        </w:rPr>
        <w:t xml:space="preserve"> </w:t>
      </w:r>
      <w:r>
        <w:rPr>
          <w:rFonts w:cs="Arial"/>
        </w:rPr>
        <w:t xml:space="preserve">se encuentra </w:t>
      </w:r>
      <w:r w:rsidR="0099106D">
        <w:rPr>
          <w:rFonts w:cs="Arial"/>
        </w:rPr>
        <w:t xml:space="preserve">expresado en moneda del año </w:t>
      </w:r>
      <w:r w:rsidR="00AD0EF7">
        <w:rPr>
          <w:rFonts w:cs="Arial"/>
        </w:rPr>
        <w:t>6</w:t>
      </w:r>
      <w:r w:rsidR="0099106D">
        <w:rPr>
          <w:rFonts w:cs="Arial"/>
        </w:rPr>
        <w:t>, de acuerdo al mecanismo de actualización establecido en el punto C del Subanexo 2 de los Contratos de Concesión.</w:t>
      </w:r>
    </w:p>
    <w:p w:rsidR="0099106D" w:rsidRPr="00A45E7D" w:rsidRDefault="00076DEB" w:rsidP="00A45E7D">
      <w:pPr>
        <w:spacing w:before="120" w:after="120"/>
        <w:rPr>
          <w:rFonts w:cs="Arial"/>
          <w:bCs/>
        </w:rPr>
      </w:pPr>
      <w:r>
        <w:rPr>
          <w:rFonts w:cs="Arial"/>
          <w:bCs/>
        </w:rPr>
        <w:t xml:space="preserve">Y siendo el Apartamiento Q del </w:t>
      </w:r>
      <w:r w:rsidR="00CC705D">
        <w:rPr>
          <w:rFonts w:cs="Arial"/>
          <w:bCs/>
        </w:rPr>
        <w:t>quin</w:t>
      </w:r>
      <w:r w:rsidR="00CD709D">
        <w:rPr>
          <w:rFonts w:cs="Arial"/>
          <w:bCs/>
        </w:rPr>
        <w:t>quenio del Factor Q</w:t>
      </w:r>
    </w:p>
    <w:p w:rsidR="00210CCB" w:rsidRDefault="0032154C" w:rsidP="0038615D">
      <w:pPr>
        <w:spacing w:before="120" w:after="120"/>
        <w:ind w:left="0"/>
        <w:jc w:val="center"/>
        <w:rPr>
          <w:rFonts w:cs="Arial"/>
          <w:b/>
          <w:bCs/>
        </w:rPr>
      </w:pPr>
      <w:bookmarkStart w:id="8" w:name="OLE_LINK7"/>
      <w:r w:rsidRPr="008E6BB4">
        <w:rPr>
          <w:rFonts w:cs="Arial"/>
          <w:b/>
          <w:bCs/>
        </w:rPr>
        <w:t>Ap</w:t>
      </w:r>
      <w:r w:rsidR="00675348" w:rsidRPr="008E6BB4">
        <w:rPr>
          <w:rFonts w:cs="Arial"/>
          <w:b/>
          <w:bCs/>
        </w:rPr>
        <w:t>Q</w:t>
      </w:r>
      <w:r w:rsidR="00210CCB" w:rsidRPr="008E6BB4">
        <w:rPr>
          <w:rFonts w:cs="Arial"/>
          <w:b/>
          <w:bCs/>
        </w:rPr>
        <w:t>=</w:t>
      </w:r>
      <w:r w:rsidR="00E7796D" w:rsidRPr="008E6BB4">
        <w:rPr>
          <w:rFonts w:cs="Arial"/>
          <w:b/>
          <w:bCs/>
        </w:rPr>
        <w:t xml:space="preserve"> </w:t>
      </w:r>
      <w:r w:rsidR="006C3CA5">
        <w:rPr>
          <w:rFonts w:cs="Arial"/>
          <w:b/>
          <w:bCs/>
        </w:rPr>
        <w:t>MAX (</w:t>
      </w:r>
      <w:r w:rsidR="00A45E7D" w:rsidRPr="008E6BB4">
        <w:rPr>
          <w:rFonts w:cs="Arial"/>
          <w:b/>
          <w:bCs/>
        </w:rPr>
        <w:t xml:space="preserve">1- </w:t>
      </w:r>
      <w:r w:rsidR="00E7796D" w:rsidRPr="008E6BB4">
        <w:rPr>
          <w:rFonts w:cs="Arial"/>
          <w:b/>
          <w:bCs/>
        </w:rPr>
        <w:t xml:space="preserve">∑ </w:t>
      </w:r>
      <w:r w:rsidR="00A45E7D" w:rsidRPr="008E6BB4">
        <w:rPr>
          <w:rFonts w:cs="Arial"/>
          <w:b/>
          <w:bCs/>
        </w:rPr>
        <w:t>FQ</w:t>
      </w:r>
      <w:r w:rsidR="000D10AE" w:rsidRPr="008E6BB4">
        <w:rPr>
          <w:rFonts w:cs="Arial"/>
          <w:b/>
          <w:bCs/>
          <w:vertAlign w:val="superscript"/>
        </w:rPr>
        <w:t>n</w:t>
      </w:r>
      <w:r w:rsidR="00A45E7D" w:rsidRPr="008E6BB4">
        <w:rPr>
          <w:rFonts w:cs="Arial"/>
          <w:b/>
          <w:bCs/>
        </w:rPr>
        <w:t xml:space="preserve"> </w:t>
      </w:r>
      <w:r w:rsidR="00210CCB" w:rsidRPr="008E6BB4">
        <w:rPr>
          <w:rFonts w:cs="Arial"/>
          <w:b/>
          <w:bCs/>
          <w:vertAlign w:val="subscript"/>
        </w:rPr>
        <w:t>real</w:t>
      </w:r>
      <w:r w:rsidR="0038615D" w:rsidRPr="008E6BB4">
        <w:rPr>
          <w:rFonts w:cs="Arial"/>
          <w:b/>
          <w:bCs/>
        </w:rPr>
        <w:t xml:space="preserve"> /</w:t>
      </w:r>
      <w:r w:rsidR="00210CCB" w:rsidRPr="008E6BB4">
        <w:rPr>
          <w:rFonts w:cs="Arial"/>
          <w:b/>
          <w:bCs/>
        </w:rPr>
        <w:t xml:space="preserve"> </w:t>
      </w:r>
      <w:r w:rsidR="00A45E7D" w:rsidRPr="008E6BB4">
        <w:rPr>
          <w:rFonts w:cs="Arial"/>
          <w:b/>
          <w:bCs/>
        </w:rPr>
        <w:t>∑ FQ</w:t>
      </w:r>
      <w:r w:rsidR="000D10AE" w:rsidRPr="008E6BB4">
        <w:rPr>
          <w:rFonts w:cs="Arial"/>
          <w:b/>
          <w:bCs/>
          <w:vertAlign w:val="superscript"/>
        </w:rPr>
        <w:t>n</w:t>
      </w:r>
      <w:r w:rsidR="0038615D" w:rsidRPr="008E6BB4">
        <w:rPr>
          <w:rFonts w:cs="Arial"/>
          <w:b/>
          <w:bCs/>
          <w:vertAlign w:val="subscript"/>
        </w:rPr>
        <w:t xml:space="preserve"> RTI</w:t>
      </w:r>
      <w:r w:rsidR="006C3CA5">
        <w:rPr>
          <w:rFonts w:cs="Arial"/>
          <w:b/>
          <w:bCs/>
        </w:rPr>
        <w:t>;</w:t>
      </w:r>
      <w:r w:rsidR="00A45E7D" w:rsidRPr="008E6BB4">
        <w:rPr>
          <w:rFonts w:cs="Arial"/>
          <w:b/>
          <w:bCs/>
        </w:rPr>
        <w:t xml:space="preserve"> </w:t>
      </w:r>
      <w:r w:rsidR="006C3CA5">
        <w:rPr>
          <w:rFonts w:cs="Arial"/>
          <w:b/>
          <w:bCs/>
        </w:rPr>
        <w:t xml:space="preserve">0), </w:t>
      </w:r>
      <w:r w:rsidR="00AD0EF7" w:rsidRPr="008E6BB4">
        <w:rPr>
          <w:rFonts w:cs="Arial"/>
          <w:b/>
          <w:bCs/>
        </w:rPr>
        <w:t xml:space="preserve">para </w:t>
      </w:r>
      <w:r w:rsidR="00FD6EB1" w:rsidRPr="008E6BB4">
        <w:rPr>
          <w:rFonts w:cs="Arial"/>
          <w:b/>
          <w:bCs/>
        </w:rPr>
        <w:t>n</w:t>
      </w:r>
      <w:r w:rsidR="00AD0EF7" w:rsidRPr="008E6BB4">
        <w:rPr>
          <w:rFonts w:cs="Arial"/>
          <w:b/>
          <w:bCs/>
        </w:rPr>
        <w:t xml:space="preserve">= </w:t>
      </w:r>
      <w:r w:rsidR="00FD6EB1" w:rsidRPr="008E6BB4">
        <w:rPr>
          <w:rFonts w:cs="Arial"/>
          <w:b/>
          <w:bCs/>
        </w:rPr>
        <w:t>i+1</w:t>
      </w:r>
      <w:r w:rsidR="00CD709D" w:rsidRPr="008E6BB4">
        <w:rPr>
          <w:rFonts w:cs="Arial"/>
          <w:b/>
          <w:bCs/>
        </w:rPr>
        <w:t>, variando i</w:t>
      </w:r>
      <w:r w:rsidR="00692306" w:rsidRPr="008E6BB4">
        <w:rPr>
          <w:rFonts w:cs="Arial"/>
          <w:b/>
          <w:bCs/>
        </w:rPr>
        <w:t xml:space="preserve"> </w:t>
      </w:r>
      <w:r w:rsidR="00CD709D" w:rsidRPr="008E6BB4">
        <w:rPr>
          <w:rFonts w:cs="Arial"/>
          <w:b/>
          <w:bCs/>
        </w:rPr>
        <w:t>de 1 a 5</w:t>
      </w:r>
    </w:p>
    <w:p w:rsidR="00E63227" w:rsidRPr="008E6BB4" w:rsidRDefault="00E63227" w:rsidP="0038615D">
      <w:pPr>
        <w:spacing w:before="120" w:after="120"/>
        <w:ind w:left="0"/>
        <w:jc w:val="center"/>
        <w:rPr>
          <w:rFonts w:cs="Arial"/>
          <w:b/>
          <w:bCs/>
          <w:lang w:val="es-AR"/>
        </w:rPr>
      </w:pPr>
    </w:p>
    <w:bookmarkEnd w:id="8"/>
    <w:p w:rsidR="008D7BC0" w:rsidRPr="00CC705D" w:rsidRDefault="004628D8" w:rsidP="00CC705D">
      <w:pPr>
        <w:pStyle w:val="Prrafodelista"/>
        <w:numPr>
          <w:ilvl w:val="0"/>
          <w:numId w:val="32"/>
        </w:numPr>
        <w:spacing w:before="120" w:after="120"/>
        <w:rPr>
          <w:rFonts w:cs="Arial"/>
          <w:b/>
        </w:rPr>
      </w:pPr>
      <w:r w:rsidRPr="00CC705D">
        <w:rPr>
          <w:rFonts w:cs="Arial"/>
          <w:b/>
        </w:rPr>
        <w:t>Aplicación del SAPIA y del SAQRTI</w:t>
      </w:r>
    </w:p>
    <w:p w:rsidR="00675348" w:rsidRPr="00963E77" w:rsidRDefault="004628D8" w:rsidP="004329ED">
      <w:pPr>
        <w:spacing w:before="120" w:after="120"/>
        <w:ind w:left="0"/>
        <w:rPr>
          <w:rFonts w:cs="Arial"/>
          <w:lang w:val="es-AR"/>
        </w:rPr>
      </w:pPr>
      <w:r>
        <w:rPr>
          <w:rFonts w:cs="Arial"/>
        </w:rPr>
        <w:t xml:space="preserve">De verificarse un desvío </w:t>
      </w:r>
      <w:r w:rsidR="00933C63">
        <w:rPr>
          <w:rFonts w:cs="Arial"/>
        </w:rPr>
        <w:t>entre las inversiones realizadas</w:t>
      </w:r>
      <w:r>
        <w:rPr>
          <w:rFonts w:cs="Arial"/>
        </w:rPr>
        <w:t xml:space="preserve"> </w:t>
      </w:r>
      <w:r w:rsidR="00933C63">
        <w:rPr>
          <w:rFonts w:cs="Arial"/>
        </w:rPr>
        <w:t xml:space="preserve">en el año </w:t>
      </w:r>
      <w:r>
        <w:rPr>
          <w:rFonts w:cs="Arial"/>
        </w:rPr>
        <w:t xml:space="preserve">respecto </w:t>
      </w:r>
      <w:r w:rsidRPr="004628D8">
        <w:rPr>
          <w:rFonts w:cs="Arial"/>
          <w:szCs w:val="22"/>
          <w:lang w:val="es-ES"/>
        </w:rPr>
        <w:t>del</w:t>
      </w:r>
      <w:r>
        <w:rPr>
          <w:rFonts w:cs="Arial"/>
          <w:szCs w:val="22"/>
          <w:lang w:val="es-ES"/>
        </w:rPr>
        <w:t xml:space="preserve"> p</w:t>
      </w:r>
      <w:r w:rsidRPr="004628D8">
        <w:rPr>
          <w:rFonts w:cs="Arial"/>
          <w:szCs w:val="22"/>
          <w:lang w:val="es-ES"/>
        </w:rPr>
        <w:t>lan de inversi</w:t>
      </w:r>
      <w:r>
        <w:rPr>
          <w:rFonts w:cs="Arial"/>
          <w:szCs w:val="22"/>
          <w:lang w:val="es-ES"/>
        </w:rPr>
        <w:t xml:space="preserve">ón </w:t>
      </w:r>
      <w:r w:rsidRPr="004628D8">
        <w:rPr>
          <w:rFonts w:cs="Arial"/>
          <w:szCs w:val="22"/>
          <w:lang w:val="es-ES"/>
        </w:rPr>
        <w:t xml:space="preserve">anual presentado por </w:t>
      </w:r>
      <w:r w:rsidR="00844096">
        <w:rPr>
          <w:rFonts w:cs="Arial"/>
          <w:szCs w:val="22"/>
          <w:lang w:val="es-ES"/>
        </w:rPr>
        <w:t>l</w:t>
      </w:r>
      <w:r w:rsidRPr="004628D8">
        <w:rPr>
          <w:rFonts w:cs="Arial"/>
          <w:szCs w:val="22"/>
          <w:lang w:val="es-ES"/>
        </w:rPr>
        <w:t>a Distribuidora</w:t>
      </w:r>
      <w:r w:rsidR="00933C63">
        <w:rPr>
          <w:rFonts w:cs="Arial"/>
          <w:szCs w:val="22"/>
          <w:lang w:val="es-ES"/>
        </w:rPr>
        <w:t xml:space="preserve"> para ese mismo año</w:t>
      </w:r>
      <w:r w:rsidRPr="004628D8">
        <w:rPr>
          <w:rFonts w:cs="Arial"/>
          <w:szCs w:val="22"/>
          <w:lang w:val="es-ES"/>
        </w:rPr>
        <w:t>, e</w:t>
      </w:r>
      <w:r w:rsidRPr="004628D8">
        <w:rPr>
          <w:rFonts w:cs="Arial"/>
        </w:rPr>
        <w:t>l</w:t>
      </w:r>
      <w:r>
        <w:rPr>
          <w:rFonts w:cs="Arial"/>
        </w:rPr>
        <w:t xml:space="preserve"> SAPIA será aplicado </w:t>
      </w:r>
      <w:r w:rsidR="00844096">
        <w:rPr>
          <w:rFonts w:cs="Arial"/>
        </w:rPr>
        <w:t>anualmente.</w:t>
      </w:r>
    </w:p>
    <w:p w:rsidR="007203E1" w:rsidRDefault="00844096" w:rsidP="004329ED">
      <w:pPr>
        <w:spacing w:before="120" w:after="120"/>
        <w:ind w:left="0"/>
        <w:rPr>
          <w:rFonts w:cs="Arial"/>
        </w:rPr>
      </w:pPr>
      <w:r>
        <w:rPr>
          <w:rFonts w:cs="Arial"/>
        </w:rPr>
        <w:t xml:space="preserve">Al finalizar el quinquenio, se constatará el cumplimiento del plan de inversiones presentado en la RTI por la Distribuidora, y de corresponder se aplicará el </w:t>
      </w:r>
      <w:r w:rsidRPr="00844096">
        <w:rPr>
          <w:rFonts w:cs="Arial"/>
        </w:rPr>
        <w:t>SAQRTI</w:t>
      </w:r>
      <w:r>
        <w:rPr>
          <w:rFonts w:cs="Arial"/>
        </w:rPr>
        <w:t>.</w:t>
      </w:r>
    </w:p>
    <w:p w:rsidR="00844096" w:rsidRDefault="00844096" w:rsidP="00844096">
      <w:pPr>
        <w:spacing w:before="120" w:after="120"/>
        <w:ind w:left="0"/>
        <w:rPr>
          <w:rFonts w:cs="Arial"/>
        </w:rPr>
      </w:pPr>
      <w:r>
        <w:rPr>
          <w:rFonts w:cs="Arial"/>
        </w:rPr>
        <w:t xml:space="preserve">Cabe aclarar que con respecto al cálculo y aplicación del SAPIA para el año 2018, el mismo se realizará en forma conjunta con el correspondiente al año 2019, </w:t>
      </w:r>
      <w:r w:rsidR="001B780A">
        <w:rPr>
          <w:rFonts w:cs="Arial"/>
        </w:rPr>
        <w:t>todo expresado en moneda de 2019</w:t>
      </w:r>
      <w:r w:rsidR="000D10AE">
        <w:rPr>
          <w:rFonts w:cs="Arial"/>
        </w:rPr>
        <w:t>,</w:t>
      </w:r>
      <w:r w:rsidR="001B780A">
        <w:rPr>
          <w:rFonts w:cs="Arial"/>
        </w:rPr>
        <w:t xml:space="preserve"> de acuerdo al mecanismo de actualización establecido en el punto C del Subanexo 2 de los Contratos de Concesión, según </w:t>
      </w:r>
      <w:r>
        <w:rPr>
          <w:rFonts w:cs="Arial"/>
        </w:rPr>
        <w:t>la</w:t>
      </w:r>
      <w:r w:rsidR="00A628C0">
        <w:rPr>
          <w:rFonts w:cs="Arial"/>
        </w:rPr>
        <w:t>s</w:t>
      </w:r>
      <w:r>
        <w:rPr>
          <w:rFonts w:cs="Arial"/>
        </w:rPr>
        <w:t xml:space="preserve"> siguientes fórmulas:</w:t>
      </w:r>
    </w:p>
    <w:p w:rsidR="00844096" w:rsidRDefault="00844096" w:rsidP="004329ED">
      <w:pPr>
        <w:spacing w:before="120" w:after="120"/>
        <w:ind w:left="0"/>
        <w:rPr>
          <w:rFonts w:cs="Arial"/>
        </w:rPr>
      </w:pPr>
    </w:p>
    <w:p w:rsidR="00A628C0" w:rsidRPr="00A628C0" w:rsidRDefault="00A628C0" w:rsidP="00A628C0">
      <w:pPr>
        <w:spacing w:before="120" w:after="120"/>
        <w:ind w:left="0"/>
        <w:jc w:val="center"/>
        <w:rPr>
          <w:rFonts w:cs="Arial"/>
          <w:b/>
          <w:sz w:val="18"/>
          <w:szCs w:val="18"/>
          <w:lang w:val="es-ES"/>
        </w:rPr>
      </w:pPr>
      <w:r w:rsidRPr="00A628C0">
        <w:rPr>
          <w:rFonts w:cs="Arial"/>
          <w:b/>
          <w:sz w:val="18"/>
          <w:szCs w:val="18"/>
          <w:lang w:val="es-ES"/>
        </w:rPr>
        <w:t>SAPIA</w:t>
      </w:r>
      <w:r w:rsidRPr="00A628C0">
        <w:rPr>
          <w:rFonts w:cs="Arial"/>
          <w:b/>
          <w:sz w:val="18"/>
          <w:szCs w:val="18"/>
          <w:vertAlign w:val="superscript"/>
          <w:lang w:val="es-ES"/>
        </w:rPr>
        <w:t>2018-2019</w:t>
      </w:r>
      <w:r w:rsidRPr="00A628C0">
        <w:rPr>
          <w:rFonts w:cs="Arial"/>
          <w:b/>
          <w:sz w:val="18"/>
          <w:szCs w:val="18"/>
          <w:lang w:val="es-ES"/>
        </w:rPr>
        <w:t>= MAX ((</w:t>
      </w:r>
      <w:r w:rsidRPr="00A628C0">
        <w:rPr>
          <w:rFonts w:cs="Arial"/>
          <w:b/>
          <w:sz w:val="18"/>
          <w:szCs w:val="18"/>
        </w:rPr>
        <w:t>CPD</w:t>
      </w:r>
      <w:r w:rsidRPr="00A628C0">
        <w:rPr>
          <w:rFonts w:cs="Arial"/>
          <w:b/>
          <w:sz w:val="18"/>
          <w:szCs w:val="18"/>
          <w:vertAlign w:val="superscript"/>
        </w:rPr>
        <w:t>2018</w:t>
      </w:r>
      <w:r w:rsidRPr="00A628C0">
        <w:rPr>
          <w:rFonts w:cs="Arial"/>
          <w:b/>
          <w:sz w:val="18"/>
          <w:szCs w:val="18"/>
        </w:rPr>
        <w:t xml:space="preserve"> </w:t>
      </w:r>
      <w:r w:rsidRPr="00A628C0">
        <w:rPr>
          <w:rFonts w:cs="Arial"/>
          <w:b/>
          <w:sz w:val="18"/>
          <w:szCs w:val="18"/>
          <w:vertAlign w:val="subscript"/>
        </w:rPr>
        <w:t xml:space="preserve">FE PI anual </w:t>
      </w:r>
      <w:r w:rsidRPr="00A628C0">
        <w:rPr>
          <w:rFonts w:cs="Arial"/>
          <w:b/>
          <w:sz w:val="18"/>
          <w:szCs w:val="18"/>
        </w:rPr>
        <w:t>+ CPD</w:t>
      </w:r>
      <w:r w:rsidRPr="00A628C0">
        <w:rPr>
          <w:rFonts w:cs="Arial"/>
          <w:b/>
          <w:sz w:val="18"/>
          <w:szCs w:val="18"/>
          <w:vertAlign w:val="superscript"/>
        </w:rPr>
        <w:t>2019</w:t>
      </w:r>
      <w:r w:rsidRPr="00A628C0">
        <w:rPr>
          <w:rFonts w:cs="Arial"/>
          <w:b/>
          <w:sz w:val="18"/>
          <w:szCs w:val="18"/>
        </w:rPr>
        <w:t xml:space="preserve"> </w:t>
      </w:r>
      <w:r w:rsidRPr="00A628C0">
        <w:rPr>
          <w:rFonts w:cs="Arial"/>
          <w:b/>
          <w:sz w:val="18"/>
          <w:szCs w:val="18"/>
          <w:vertAlign w:val="subscript"/>
        </w:rPr>
        <w:t>FE PI anual</w:t>
      </w:r>
      <w:r w:rsidRPr="00A628C0">
        <w:rPr>
          <w:rFonts w:cs="Arial"/>
          <w:b/>
          <w:sz w:val="18"/>
          <w:szCs w:val="18"/>
        </w:rPr>
        <w:t xml:space="preserve"> -</w:t>
      </w:r>
      <w:r w:rsidRPr="00A628C0">
        <w:rPr>
          <w:rFonts w:cs="Arial"/>
          <w:b/>
          <w:sz w:val="18"/>
          <w:szCs w:val="18"/>
          <w:vertAlign w:val="subscript"/>
        </w:rPr>
        <w:t xml:space="preserve"> </w:t>
      </w:r>
      <w:r w:rsidRPr="00A628C0">
        <w:rPr>
          <w:rFonts w:cs="Arial"/>
          <w:b/>
          <w:sz w:val="18"/>
          <w:szCs w:val="18"/>
        </w:rPr>
        <w:t>CPD</w:t>
      </w:r>
      <w:r w:rsidRPr="00A628C0">
        <w:rPr>
          <w:rFonts w:cs="Arial"/>
          <w:b/>
          <w:sz w:val="18"/>
          <w:szCs w:val="18"/>
          <w:vertAlign w:val="superscript"/>
        </w:rPr>
        <w:t>2018</w:t>
      </w:r>
      <w:r w:rsidRPr="00A628C0">
        <w:rPr>
          <w:rFonts w:cs="Arial"/>
          <w:b/>
          <w:sz w:val="18"/>
          <w:szCs w:val="18"/>
        </w:rPr>
        <w:t xml:space="preserve"> </w:t>
      </w:r>
      <w:r w:rsidRPr="00A628C0">
        <w:rPr>
          <w:rFonts w:cs="Arial"/>
          <w:b/>
          <w:sz w:val="18"/>
          <w:szCs w:val="18"/>
          <w:vertAlign w:val="subscript"/>
        </w:rPr>
        <w:t>FE PI real</w:t>
      </w:r>
      <w:r w:rsidRPr="00A628C0">
        <w:rPr>
          <w:rFonts w:cs="Arial"/>
          <w:b/>
          <w:sz w:val="18"/>
          <w:szCs w:val="18"/>
        </w:rPr>
        <w:t>- CPD</w:t>
      </w:r>
      <w:r w:rsidRPr="00A628C0">
        <w:rPr>
          <w:rFonts w:cs="Arial"/>
          <w:b/>
          <w:sz w:val="18"/>
          <w:szCs w:val="18"/>
          <w:vertAlign w:val="superscript"/>
        </w:rPr>
        <w:t>2019</w:t>
      </w:r>
      <w:r w:rsidRPr="00A628C0">
        <w:rPr>
          <w:rFonts w:cs="Arial"/>
          <w:b/>
          <w:sz w:val="18"/>
          <w:szCs w:val="18"/>
        </w:rPr>
        <w:t xml:space="preserve"> </w:t>
      </w:r>
      <w:r w:rsidRPr="00A628C0">
        <w:rPr>
          <w:rFonts w:cs="Arial"/>
          <w:b/>
          <w:sz w:val="18"/>
          <w:szCs w:val="18"/>
          <w:vertAlign w:val="subscript"/>
        </w:rPr>
        <w:t>FE PI real</w:t>
      </w:r>
      <w:r w:rsidRPr="00A628C0">
        <w:rPr>
          <w:rFonts w:cs="Arial"/>
          <w:b/>
          <w:sz w:val="18"/>
          <w:szCs w:val="18"/>
        </w:rPr>
        <w:t>)</w:t>
      </w:r>
      <w:r w:rsidR="001B780A">
        <w:rPr>
          <w:rFonts w:cs="Arial"/>
          <w:b/>
          <w:sz w:val="18"/>
          <w:szCs w:val="18"/>
        </w:rPr>
        <w:t xml:space="preserve"> </w:t>
      </w:r>
      <w:r w:rsidRPr="00A628C0">
        <w:rPr>
          <w:rFonts w:cs="Arial"/>
          <w:b/>
          <w:sz w:val="18"/>
          <w:szCs w:val="18"/>
        </w:rPr>
        <w:t>* Z; 0)</w:t>
      </w:r>
    </w:p>
    <w:p w:rsidR="00A628C0" w:rsidRDefault="00A628C0" w:rsidP="00A628C0">
      <w:pPr>
        <w:rPr>
          <w:rFonts w:cs="Arial"/>
          <w:i/>
        </w:rPr>
      </w:pPr>
    </w:p>
    <w:p w:rsidR="00A628C0" w:rsidRPr="00AE02B1" w:rsidRDefault="00A628C0" w:rsidP="00A628C0">
      <w:pPr>
        <w:rPr>
          <w:rFonts w:cs="Arial"/>
          <w:i/>
        </w:rPr>
      </w:pPr>
      <w:r w:rsidRPr="00AE02B1">
        <w:rPr>
          <w:rFonts w:cs="Arial"/>
          <w:i/>
        </w:rPr>
        <w:t>Donde:</w:t>
      </w:r>
    </w:p>
    <w:p w:rsidR="00A628C0" w:rsidRPr="00D31DAE" w:rsidRDefault="00A628C0" w:rsidP="00A628C0">
      <w:pPr>
        <w:rPr>
          <w:rFonts w:cs="Arial"/>
          <w:i/>
        </w:rPr>
      </w:pPr>
    </w:p>
    <w:p w:rsidR="00A628C0" w:rsidRPr="00D31DAE" w:rsidRDefault="00A628C0" w:rsidP="00A628C0">
      <w:pPr>
        <w:rPr>
          <w:rFonts w:cs="Arial"/>
          <w:i/>
        </w:rPr>
      </w:pPr>
      <w:r w:rsidRPr="00DF2F7F">
        <w:rPr>
          <w:rFonts w:cs="Arial"/>
          <w:b/>
          <w:i/>
        </w:rPr>
        <w:t>SAPIA</w:t>
      </w:r>
      <w:r w:rsidRPr="00D31DAE">
        <w:rPr>
          <w:rFonts w:cs="Arial"/>
          <w:i/>
        </w:rPr>
        <w:t xml:space="preserve">: sanción por apartamiento del Plan de inversión </w:t>
      </w:r>
      <w:r>
        <w:rPr>
          <w:rFonts w:cs="Arial"/>
          <w:i/>
        </w:rPr>
        <w:t>bi</w:t>
      </w:r>
      <w:r w:rsidRPr="00D31DAE">
        <w:rPr>
          <w:rFonts w:cs="Arial"/>
          <w:i/>
        </w:rPr>
        <w:t>anual</w:t>
      </w:r>
      <w:r>
        <w:rPr>
          <w:rFonts w:cs="Arial"/>
          <w:i/>
        </w:rPr>
        <w:t xml:space="preserve"> de los años 2018/19.</w:t>
      </w:r>
    </w:p>
    <w:p w:rsidR="00525796" w:rsidRDefault="00525796" w:rsidP="00A628C0">
      <w:pPr>
        <w:rPr>
          <w:rFonts w:cs="Arial"/>
          <w:b/>
          <w:i/>
        </w:rPr>
      </w:pPr>
    </w:p>
    <w:p w:rsidR="00A628C0" w:rsidRDefault="00A628C0" w:rsidP="00A628C0">
      <w:pPr>
        <w:rPr>
          <w:rFonts w:cs="Arial"/>
          <w:i/>
        </w:rPr>
      </w:pPr>
      <w:r w:rsidRPr="00D31DAE">
        <w:rPr>
          <w:rFonts w:cs="Arial"/>
          <w:b/>
          <w:i/>
        </w:rPr>
        <w:t xml:space="preserve">CPD </w:t>
      </w:r>
      <w:r w:rsidRPr="00D31DAE">
        <w:rPr>
          <w:rFonts w:cs="Arial"/>
          <w:b/>
          <w:i/>
          <w:vertAlign w:val="subscript"/>
        </w:rPr>
        <w:t>FE PI</w:t>
      </w:r>
      <w:r>
        <w:rPr>
          <w:rFonts w:cs="Arial"/>
          <w:b/>
          <w:i/>
          <w:vertAlign w:val="subscript"/>
        </w:rPr>
        <w:t xml:space="preserve"> anual</w:t>
      </w:r>
      <w:r w:rsidRPr="00D31DAE">
        <w:rPr>
          <w:rFonts w:cs="Arial"/>
          <w:i/>
        </w:rPr>
        <w:t>:</w:t>
      </w:r>
      <w:r>
        <w:rPr>
          <w:rFonts w:cs="Arial"/>
          <w:i/>
        </w:rPr>
        <w:t xml:space="preserve"> Costo propio de distribución, calculado a partir del Factor E </w:t>
      </w:r>
      <w:r w:rsidR="00CD709D">
        <w:rPr>
          <w:rFonts w:cs="Arial"/>
          <w:i/>
        </w:rPr>
        <w:t xml:space="preserve">del año 2018 y 2019 </w:t>
      </w:r>
      <w:r>
        <w:rPr>
          <w:rFonts w:cs="Arial"/>
          <w:i/>
        </w:rPr>
        <w:t xml:space="preserve">que contempla el plan de inversiones presentado </w:t>
      </w:r>
      <w:r w:rsidR="00CD709D">
        <w:rPr>
          <w:rFonts w:cs="Arial"/>
          <w:i/>
        </w:rPr>
        <w:t xml:space="preserve">en cada uno de </w:t>
      </w:r>
      <w:r>
        <w:rPr>
          <w:rFonts w:cs="Arial"/>
          <w:i/>
        </w:rPr>
        <w:t xml:space="preserve"> </w:t>
      </w:r>
      <w:r w:rsidR="00CD709D">
        <w:rPr>
          <w:rFonts w:cs="Arial"/>
          <w:i/>
        </w:rPr>
        <w:t xml:space="preserve">estos años </w:t>
      </w:r>
      <w:r>
        <w:rPr>
          <w:rFonts w:cs="Arial"/>
          <w:i/>
        </w:rPr>
        <w:t xml:space="preserve">(Q Plan de Inversiones anual). </w:t>
      </w:r>
    </w:p>
    <w:p w:rsidR="00525796" w:rsidRDefault="00525796" w:rsidP="00A628C0">
      <w:pPr>
        <w:rPr>
          <w:rFonts w:cs="Arial"/>
          <w:b/>
          <w:i/>
        </w:rPr>
      </w:pPr>
    </w:p>
    <w:p w:rsidR="00A628C0" w:rsidRDefault="00525796" w:rsidP="00A628C0">
      <w:pPr>
        <w:rPr>
          <w:rFonts w:cs="Arial"/>
          <w:i/>
        </w:rPr>
      </w:pPr>
      <w:r>
        <w:rPr>
          <w:rFonts w:cs="Arial"/>
          <w:b/>
          <w:i/>
        </w:rPr>
        <w:t>C</w:t>
      </w:r>
      <w:r w:rsidR="00A628C0" w:rsidRPr="0099106D">
        <w:rPr>
          <w:rFonts w:cs="Arial"/>
          <w:b/>
          <w:i/>
        </w:rPr>
        <w:t xml:space="preserve">PD </w:t>
      </w:r>
      <w:r w:rsidR="00A628C0" w:rsidRPr="0099106D">
        <w:rPr>
          <w:rFonts w:cs="Arial"/>
          <w:b/>
          <w:i/>
          <w:vertAlign w:val="subscript"/>
        </w:rPr>
        <w:t>FE PI real</w:t>
      </w:r>
      <w:r w:rsidR="00A628C0" w:rsidRPr="0099106D">
        <w:rPr>
          <w:rFonts w:cs="Arial"/>
          <w:i/>
        </w:rPr>
        <w:t>:</w:t>
      </w:r>
      <w:r w:rsidR="00A628C0">
        <w:rPr>
          <w:rFonts w:cs="Arial"/>
          <w:i/>
        </w:rPr>
        <w:t xml:space="preserve"> Costo propio de distribución, calculado a partir del Factor E </w:t>
      </w:r>
      <w:r w:rsidR="00CD709D">
        <w:rPr>
          <w:rFonts w:cs="Arial"/>
          <w:i/>
        </w:rPr>
        <w:t xml:space="preserve">del año 2018 y 2019 </w:t>
      </w:r>
      <w:r w:rsidR="00A628C0">
        <w:rPr>
          <w:rFonts w:cs="Arial"/>
          <w:i/>
        </w:rPr>
        <w:t xml:space="preserve">que contempla </w:t>
      </w:r>
      <w:r w:rsidR="00933C63">
        <w:rPr>
          <w:rFonts w:cs="Arial"/>
          <w:i/>
        </w:rPr>
        <w:t>las</w:t>
      </w:r>
      <w:r w:rsidR="00A628C0">
        <w:rPr>
          <w:rFonts w:cs="Arial"/>
          <w:i/>
        </w:rPr>
        <w:t xml:space="preserve"> inversiones realizad</w:t>
      </w:r>
      <w:r w:rsidR="00933C63">
        <w:rPr>
          <w:rFonts w:cs="Arial"/>
          <w:i/>
        </w:rPr>
        <w:t>as</w:t>
      </w:r>
      <w:r w:rsidR="00A628C0">
        <w:rPr>
          <w:rFonts w:cs="Arial"/>
          <w:i/>
        </w:rPr>
        <w:t xml:space="preserve"> en </w:t>
      </w:r>
      <w:r w:rsidR="00CD709D">
        <w:rPr>
          <w:rFonts w:cs="Arial"/>
          <w:i/>
        </w:rPr>
        <w:t>cada uno de estos</w:t>
      </w:r>
      <w:r w:rsidR="00A628C0">
        <w:rPr>
          <w:rFonts w:cs="Arial"/>
          <w:i/>
        </w:rPr>
        <w:t xml:space="preserve"> años (Q Inversiones realizadas). </w:t>
      </w:r>
    </w:p>
    <w:p w:rsidR="00525796" w:rsidRDefault="00525796" w:rsidP="00A628C0">
      <w:pPr>
        <w:rPr>
          <w:rFonts w:cs="Arial"/>
          <w:b/>
          <w:i/>
        </w:rPr>
      </w:pPr>
    </w:p>
    <w:p w:rsidR="00A628C0" w:rsidRPr="00A47ECB" w:rsidRDefault="00A628C0" w:rsidP="00A628C0">
      <w:pPr>
        <w:rPr>
          <w:rFonts w:cs="Arial"/>
          <w:i/>
        </w:rPr>
      </w:pPr>
      <w:r w:rsidRPr="00A07062">
        <w:rPr>
          <w:rFonts w:cs="Arial"/>
          <w:b/>
          <w:i/>
        </w:rPr>
        <w:t>Z:</w:t>
      </w:r>
      <w:r>
        <w:rPr>
          <w:rFonts w:cs="Arial"/>
        </w:rPr>
        <w:t xml:space="preserve"> </w:t>
      </w:r>
      <w:r w:rsidRPr="00A47ECB">
        <w:rPr>
          <w:rFonts w:cs="Arial"/>
          <w:i/>
        </w:rPr>
        <w:t xml:space="preserve">coeficiente, cuyo valor varía entre 0 y 5, en función del nivel de apartamiento entre el Factor Q que se deriva de las inversiones presentadas en el plan anual </w:t>
      </w:r>
      <w:r>
        <w:rPr>
          <w:rFonts w:cs="Arial"/>
          <w:i/>
        </w:rPr>
        <w:t xml:space="preserve">para los años 2018/2019 </w:t>
      </w:r>
      <w:r w:rsidRPr="00A47ECB">
        <w:rPr>
          <w:rFonts w:cs="Arial"/>
          <w:i/>
        </w:rPr>
        <w:t>y el factor Q que contempla las inversiones realizadas</w:t>
      </w:r>
      <w:r>
        <w:rPr>
          <w:rFonts w:cs="Arial"/>
          <w:i/>
        </w:rPr>
        <w:t xml:space="preserve"> en los años 2018/2019</w:t>
      </w:r>
      <w:r w:rsidRPr="00A47ECB">
        <w:rPr>
          <w:rFonts w:cs="Arial"/>
          <w:i/>
        </w:rPr>
        <w:t>.</w:t>
      </w:r>
    </w:p>
    <w:p w:rsidR="00A628C0" w:rsidRDefault="00A628C0" w:rsidP="00A628C0">
      <w:pPr>
        <w:rPr>
          <w:rFonts w:cs="Arial"/>
        </w:rPr>
      </w:pPr>
    </w:p>
    <w:p w:rsidR="00A628C0" w:rsidRDefault="00A628C0" w:rsidP="00A628C0">
      <w:pPr>
        <w:rPr>
          <w:rFonts w:cs="Arial"/>
        </w:rPr>
      </w:pPr>
      <w:r>
        <w:rPr>
          <w:rFonts w:cs="Arial"/>
        </w:rPr>
        <w:t>Siendo</w:t>
      </w:r>
    </w:p>
    <w:p w:rsidR="00A628C0" w:rsidRPr="005722DA" w:rsidRDefault="00A628C0" w:rsidP="00A628C0">
      <w:pPr>
        <w:jc w:val="center"/>
        <w:rPr>
          <w:rFonts w:cs="Arial"/>
        </w:rPr>
      </w:pPr>
      <w:r>
        <w:rPr>
          <w:rFonts w:cs="Arial"/>
        </w:rPr>
        <w:t xml:space="preserve">Ap= </w:t>
      </w:r>
      <w:r w:rsidR="00DF592F">
        <w:rPr>
          <w:rFonts w:cs="Arial"/>
        </w:rPr>
        <w:t>MAX (</w:t>
      </w:r>
      <w:r>
        <w:rPr>
          <w:rFonts w:cs="Arial"/>
        </w:rPr>
        <w:t>1</w:t>
      </w:r>
      <w:r>
        <w:rPr>
          <w:rFonts w:cs="Arial"/>
          <w:vertAlign w:val="subscript"/>
        </w:rPr>
        <w:t xml:space="preserve"> </w:t>
      </w:r>
      <w:r w:rsidRPr="005722DA">
        <w:rPr>
          <w:rFonts w:cs="Arial"/>
        </w:rPr>
        <w:t>-</w:t>
      </w:r>
      <w:r>
        <w:rPr>
          <w:rFonts w:cs="Arial"/>
        </w:rPr>
        <w:t xml:space="preserve"> </w:t>
      </w:r>
      <w:r w:rsidR="00AD0EF7">
        <w:rPr>
          <w:rFonts w:cs="Arial"/>
          <w:b/>
          <w:bCs/>
        </w:rPr>
        <w:t xml:space="preserve">∑ </w:t>
      </w:r>
      <w:r w:rsidRPr="005722DA">
        <w:rPr>
          <w:rFonts w:cs="Arial"/>
        </w:rPr>
        <w:t>FQ</w:t>
      </w:r>
      <w:r w:rsidR="00AD0EF7" w:rsidRPr="00AD0EF7">
        <w:rPr>
          <w:rFonts w:cs="Arial"/>
          <w:vertAlign w:val="superscript"/>
        </w:rPr>
        <w:t>2018-2019</w:t>
      </w:r>
      <w:r w:rsidRPr="005722DA">
        <w:rPr>
          <w:rFonts w:cs="Arial"/>
        </w:rPr>
        <w:t xml:space="preserve"> </w:t>
      </w:r>
      <w:r w:rsidRPr="005722DA">
        <w:rPr>
          <w:rFonts w:cs="Arial"/>
          <w:vertAlign w:val="subscript"/>
        </w:rPr>
        <w:t>PI real</w:t>
      </w:r>
      <w:r>
        <w:rPr>
          <w:rFonts w:cs="Arial"/>
        </w:rPr>
        <w:t xml:space="preserve"> </w:t>
      </w:r>
      <w:r w:rsidRPr="005722DA">
        <w:rPr>
          <w:rFonts w:cs="Arial"/>
        </w:rPr>
        <w:t>/</w:t>
      </w:r>
      <w:r>
        <w:rPr>
          <w:rFonts w:cs="Arial"/>
        </w:rPr>
        <w:t xml:space="preserve"> </w:t>
      </w:r>
      <w:r w:rsidR="00AD0EF7">
        <w:rPr>
          <w:rFonts w:cs="Arial"/>
          <w:b/>
          <w:bCs/>
        </w:rPr>
        <w:t xml:space="preserve">∑ </w:t>
      </w:r>
      <w:r w:rsidRPr="005722DA">
        <w:rPr>
          <w:rFonts w:cs="Arial"/>
        </w:rPr>
        <w:t>FQ</w:t>
      </w:r>
      <w:r w:rsidR="00AD0EF7" w:rsidRPr="00AD0EF7">
        <w:rPr>
          <w:rFonts w:cs="Arial"/>
          <w:vertAlign w:val="superscript"/>
        </w:rPr>
        <w:t>2018-2019</w:t>
      </w:r>
      <w:r w:rsidRPr="005722DA">
        <w:rPr>
          <w:rFonts w:cs="Arial"/>
        </w:rPr>
        <w:t xml:space="preserve"> </w:t>
      </w:r>
      <w:r w:rsidRPr="00AE02B1">
        <w:rPr>
          <w:rFonts w:cs="Arial"/>
          <w:vertAlign w:val="subscript"/>
        </w:rPr>
        <w:t>PI anual</w:t>
      </w:r>
      <w:r w:rsidR="00DF592F" w:rsidRPr="00DF592F">
        <w:rPr>
          <w:rFonts w:cs="Arial"/>
        </w:rPr>
        <w:t>; 0)</w:t>
      </w:r>
    </w:p>
    <w:p w:rsidR="00844096" w:rsidRDefault="00844096" w:rsidP="004329ED">
      <w:pPr>
        <w:spacing w:before="120" w:after="120"/>
        <w:ind w:left="0"/>
        <w:rPr>
          <w:rFonts w:cs="Arial"/>
        </w:rPr>
      </w:pPr>
    </w:p>
    <w:p w:rsidR="00844096" w:rsidRDefault="00AD0EF7" w:rsidP="004329ED">
      <w:pPr>
        <w:spacing w:before="120" w:after="120"/>
        <w:ind w:left="0"/>
        <w:rPr>
          <w:rFonts w:cs="Arial"/>
        </w:rPr>
      </w:pPr>
      <w:r w:rsidRPr="00AD0EF7">
        <w:rPr>
          <w:rFonts w:cs="Arial"/>
        </w:rPr>
        <w:t xml:space="preserve">En </w:t>
      </w:r>
      <w:r>
        <w:rPr>
          <w:rFonts w:cs="Arial"/>
        </w:rPr>
        <w:t>esta oportunidad, para e</w:t>
      </w:r>
      <w:r w:rsidRPr="00AD0EF7">
        <w:rPr>
          <w:rFonts w:cs="Arial"/>
        </w:rPr>
        <w:t xml:space="preserve">l cálculo del SAQRTI, </w:t>
      </w:r>
      <w:r w:rsidR="007E1501" w:rsidRPr="00AD0EF7">
        <w:rPr>
          <w:rFonts w:cs="Arial"/>
        </w:rPr>
        <w:t xml:space="preserve">se considera </w:t>
      </w:r>
      <w:r>
        <w:rPr>
          <w:rFonts w:cs="Arial"/>
        </w:rPr>
        <w:t xml:space="preserve">en </w:t>
      </w:r>
      <w:r w:rsidRPr="00AD0EF7">
        <w:rPr>
          <w:rFonts w:cs="Arial"/>
        </w:rPr>
        <w:t>la sumatoria del SAPIA los años 2018 y 2019</w:t>
      </w:r>
      <w:r w:rsidR="009848BD">
        <w:rPr>
          <w:rFonts w:cs="Arial"/>
        </w:rPr>
        <w:t>,</w:t>
      </w:r>
      <w:r w:rsidRPr="00AD0EF7">
        <w:rPr>
          <w:rFonts w:cs="Arial"/>
        </w:rPr>
        <w:t xml:space="preserve"> en forma conjunta.</w:t>
      </w:r>
    </w:p>
    <w:p w:rsidR="00CC705D" w:rsidRPr="00AD0EF7" w:rsidRDefault="00CC705D" w:rsidP="004329ED">
      <w:pPr>
        <w:spacing w:before="120" w:after="120"/>
        <w:ind w:left="0"/>
        <w:rPr>
          <w:rFonts w:cs="Arial"/>
        </w:rPr>
      </w:pPr>
    </w:p>
    <w:p w:rsidR="00210CCB" w:rsidRPr="00CC705D" w:rsidRDefault="00A45E7D" w:rsidP="00CC705D">
      <w:pPr>
        <w:pStyle w:val="Prrafodelista"/>
        <w:numPr>
          <w:ilvl w:val="0"/>
          <w:numId w:val="32"/>
        </w:numPr>
        <w:spacing w:before="120" w:after="120"/>
        <w:rPr>
          <w:rFonts w:cs="Arial"/>
          <w:b/>
        </w:rPr>
      </w:pPr>
      <w:r w:rsidRPr="00CC705D">
        <w:rPr>
          <w:rFonts w:cs="Arial"/>
          <w:b/>
        </w:rPr>
        <w:t>Destino de la sanción</w:t>
      </w:r>
      <w:r w:rsidR="000F630A" w:rsidRPr="00CC705D">
        <w:rPr>
          <w:rFonts w:cs="Arial"/>
          <w:b/>
        </w:rPr>
        <w:t xml:space="preserve"> y acreditación a los usuarios</w:t>
      </w:r>
    </w:p>
    <w:p w:rsidR="00546B48" w:rsidRPr="00FE21BB" w:rsidRDefault="00CD709D" w:rsidP="004329ED">
      <w:pPr>
        <w:spacing w:before="120" w:after="120"/>
        <w:ind w:left="0"/>
        <w:rPr>
          <w:rFonts w:cs="Arial"/>
        </w:rPr>
      </w:pPr>
      <w:r>
        <w:rPr>
          <w:rFonts w:cs="Arial"/>
        </w:rPr>
        <w:t xml:space="preserve">Los montos que se derivan de la aplicación de estas </w:t>
      </w:r>
      <w:r w:rsidR="00FE21BB" w:rsidRPr="00FE21BB">
        <w:rPr>
          <w:rFonts w:cs="Arial"/>
        </w:rPr>
        <w:t xml:space="preserve">sanciones (SAPIA y SAQRTI) </w:t>
      </w:r>
      <w:r>
        <w:rPr>
          <w:rFonts w:cs="Arial"/>
        </w:rPr>
        <w:t>ser</w:t>
      </w:r>
      <w:r w:rsidR="00742080">
        <w:rPr>
          <w:rFonts w:cs="Arial"/>
        </w:rPr>
        <w:t>án destinado</w:t>
      </w:r>
      <w:r>
        <w:rPr>
          <w:rFonts w:cs="Arial"/>
        </w:rPr>
        <w:t>s a los usuarios</w:t>
      </w:r>
      <w:r w:rsidR="002D0102">
        <w:rPr>
          <w:rFonts w:cs="Arial"/>
        </w:rPr>
        <w:t>, teniendo en cuenta el siguiente procedimiento</w:t>
      </w:r>
      <w:r w:rsidR="00F12BBE">
        <w:rPr>
          <w:rFonts w:cs="Arial"/>
        </w:rPr>
        <w:t>:</w:t>
      </w:r>
    </w:p>
    <w:p w:rsidR="00863169" w:rsidRDefault="0031558E" w:rsidP="00863169">
      <w:pPr>
        <w:pStyle w:val="Prrafodelista"/>
        <w:numPr>
          <w:ilvl w:val="0"/>
          <w:numId w:val="31"/>
        </w:numPr>
        <w:spacing w:before="120" w:after="120"/>
        <w:rPr>
          <w:rFonts w:cs="Arial"/>
          <w:szCs w:val="22"/>
          <w:lang w:val="es-ES"/>
        </w:rPr>
      </w:pPr>
      <w:r w:rsidRPr="00863169">
        <w:rPr>
          <w:rFonts w:cs="Arial"/>
          <w:szCs w:val="22"/>
          <w:lang w:val="es-ES"/>
        </w:rPr>
        <w:t xml:space="preserve">El monto </w:t>
      </w:r>
      <w:r w:rsidR="00C3403C" w:rsidRPr="00863169">
        <w:rPr>
          <w:rFonts w:cs="Arial"/>
          <w:szCs w:val="22"/>
          <w:lang w:val="es-ES"/>
        </w:rPr>
        <w:t xml:space="preserve">total de la sanción </w:t>
      </w:r>
      <w:r w:rsidR="00E63227">
        <w:rPr>
          <w:rFonts w:cs="Arial"/>
          <w:szCs w:val="22"/>
          <w:lang w:val="es-ES"/>
        </w:rPr>
        <w:t xml:space="preserve">del año n </w:t>
      </w:r>
      <w:r w:rsidR="00742080" w:rsidRPr="00863169">
        <w:rPr>
          <w:rFonts w:cs="Arial"/>
          <w:szCs w:val="22"/>
          <w:lang w:val="es-ES"/>
        </w:rPr>
        <w:t xml:space="preserve">será distribuido </w:t>
      </w:r>
      <w:r w:rsidR="00863169" w:rsidRPr="00863169">
        <w:rPr>
          <w:rFonts w:cs="Arial"/>
          <w:szCs w:val="22"/>
          <w:lang w:val="es-ES"/>
        </w:rPr>
        <w:t xml:space="preserve">en proporción al consumo anual de cada usuario en relación al total de energía facturado por las Distribuidoras en </w:t>
      </w:r>
      <w:r w:rsidR="00E63227">
        <w:rPr>
          <w:rFonts w:cs="Arial"/>
          <w:szCs w:val="22"/>
          <w:lang w:val="es-ES"/>
        </w:rPr>
        <w:t>el año anterior (año n-1)</w:t>
      </w:r>
      <w:r w:rsidR="00863169" w:rsidRPr="00863169">
        <w:rPr>
          <w:rFonts w:cs="Arial"/>
          <w:szCs w:val="22"/>
          <w:lang w:val="es-ES"/>
        </w:rPr>
        <w:t xml:space="preserve">. Las bonificaciones deberán consignarse en las facturaciones así: "Bonificación s/Res ENRE Nº </w:t>
      </w:r>
      <w:r w:rsidR="00E63227">
        <w:rPr>
          <w:rFonts w:cs="Arial"/>
          <w:szCs w:val="22"/>
          <w:lang w:val="es-ES"/>
        </w:rPr>
        <w:t xml:space="preserve"> </w:t>
      </w:r>
      <w:r w:rsidR="00C567ED">
        <w:rPr>
          <w:rFonts w:cs="Arial"/>
          <w:szCs w:val="22"/>
          <w:lang w:val="es-ES"/>
        </w:rPr>
        <w:t xml:space="preserve">   </w:t>
      </w:r>
      <w:r w:rsidR="00CC705D">
        <w:rPr>
          <w:rFonts w:cs="Arial"/>
          <w:szCs w:val="22"/>
          <w:lang w:val="es-ES"/>
        </w:rPr>
        <w:t xml:space="preserve">   </w:t>
      </w:r>
      <w:r w:rsidR="00E63227">
        <w:rPr>
          <w:rFonts w:cs="Arial"/>
          <w:szCs w:val="22"/>
          <w:lang w:val="es-ES"/>
        </w:rPr>
        <w:t xml:space="preserve"> </w:t>
      </w:r>
      <w:r w:rsidR="00863169" w:rsidRPr="00863169">
        <w:rPr>
          <w:rFonts w:cs="Arial"/>
          <w:szCs w:val="22"/>
          <w:lang w:val="es-ES"/>
        </w:rPr>
        <w:t>/</w:t>
      </w:r>
      <w:r w:rsidR="00CC705D">
        <w:rPr>
          <w:rFonts w:cs="Arial"/>
          <w:szCs w:val="22"/>
          <w:lang w:val="es-ES"/>
        </w:rPr>
        <w:t xml:space="preserve">    </w:t>
      </w:r>
      <w:r w:rsidR="00C567ED">
        <w:rPr>
          <w:rFonts w:cs="Arial"/>
          <w:szCs w:val="22"/>
          <w:lang w:val="es-ES"/>
        </w:rPr>
        <w:t xml:space="preserve"> </w:t>
      </w:r>
      <w:r w:rsidR="00863169">
        <w:rPr>
          <w:rFonts w:cs="Arial"/>
          <w:szCs w:val="22"/>
          <w:lang w:val="es-ES"/>
        </w:rPr>
        <w:t xml:space="preserve">  </w:t>
      </w:r>
      <w:r w:rsidR="00963E77">
        <w:rPr>
          <w:rFonts w:cs="Arial"/>
          <w:szCs w:val="22"/>
          <w:lang w:val="es-ES"/>
        </w:rPr>
        <w:t>.</w:t>
      </w:r>
      <w:r w:rsidR="00863169" w:rsidRPr="00863169">
        <w:rPr>
          <w:rFonts w:cs="Arial"/>
          <w:szCs w:val="22"/>
          <w:lang w:val="es-ES"/>
        </w:rPr>
        <w:t>"</w:t>
      </w:r>
    </w:p>
    <w:p w:rsidR="0031558E" w:rsidRPr="00863169" w:rsidRDefault="0031558E" w:rsidP="00863169">
      <w:pPr>
        <w:pStyle w:val="Prrafodelista"/>
        <w:numPr>
          <w:ilvl w:val="0"/>
          <w:numId w:val="31"/>
        </w:numPr>
        <w:spacing w:before="120" w:after="120"/>
        <w:rPr>
          <w:rFonts w:cs="Arial"/>
          <w:szCs w:val="22"/>
          <w:lang w:val="es-ES"/>
        </w:rPr>
      </w:pPr>
      <w:r w:rsidRPr="00863169">
        <w:rPr>
          <w:rFonts w:cs="Arial"/>
          <w:szCs w:val="22"/>
          <w:lang w:val="es-ES"/>
        </w:rPr>
        <w:t>El monto de</w:t>
      </w:r>
      <w:r w:rsidR="00C3403C" w:rsidRPr="00863169">
        <w:rPr>
          <w:rFonts w:cs="Arial"/>
          <w:szCs w:val="22"/>
          <w:lang w:val="es-ES"/>
        </w:rPr>
        <w:t xml:space="preserve"> </w:t>
      </w:r>
      <w:r w:rsidRPr="00863169">
        <w:rPr>
          <w:rFonts w:cs="Arial"/>
          <w:szCs w:val="22"/>
          <w:lang w:val="es-ES"/>
        </w:rPr>
        <w:t>l</w:t>
      </w:r>
      <w:r w:rsidR="00C3403C" w:rsidRPr="00863169">
        <w:rPr>
          <w:rFonts w:cs="Arial"/>
          <w:szCs w:val="22"/>
          <w:lang w:val="es-ES"/>
        </w:rPr>
        <w:t>a</w:t>
      </w:r>
      <w:r w:rsidRPr="00863169">
        <w:rPr>
          <w:rFonts w:cs="Arial"/>
          <w:szCs w:val="22"/>
          <w:lang w:val="es-ES"/>
        </w:rPr>
        <w:t xml:space="preserve"> </w:t>
      </w:r>
      <w:r w:rsidR="00C3403C" w:rsidRPr="00863169">
        <w:rPr>
          <w:rFonts w:cs="Arial"/>
          <w:szCs w:val="22"/>
          <w:lang w:val="es-ES"/>
        </w:rPr>
        <w:t xml:space="preserve">sanción aplicada a la distribuidora por los conceptos señalados </w:t>
      </w:r>
      <w:r w:rsidRPr="00863169">
        <w:rPr>
          <w:rFonts w:cs="Arial"/>
          <w:szCs w:val="22"/>
          <w:lang w:val="es-ES"/>
        </w:rPr>
        <w:t xml:space="preserve">deberá ser acreditado en la cuenta de </w:t>
      </w:r>
      <w:r w:rsidR="002D0102" w:rsidRPr="00863169">
        <w:rPr>
          <w:rFonts w:cs="Arial"/>
          <w:szCs w:val="22"/>
          <w:lang w:val="es-ES"/>
        </w:rPr>
        <w:t>cada</w:t>
      </w:r>
      <w:r w:rsidRPr="00863169">
        <w:rPr>
          <w:rFonts w:cs="Arial"/>
          <w:szCs w:val="22"/>
          <w:lang w:val="es-ES"/>
        </w:rPr>
        <w:t xml:space="preserve"> usuario dentro de los VEINTE (20) días hábiles administrativos, contados a partir de la notificación del acto administrativo que establezca la sanción.</w:t>
      </w:r>
    </w:p>
    <w:p w:rsidR="0031558E" w:rsidRPr="0031558E" w:rsidRDefault="0031558E" w:rsidP="00F12BBE">
      <w:pPr>
        <w:pStyle w:val="Prrafodelista"/>
        <w:numPr>
          <w:ilvl w:val="0"/>
          <w:numId w:val="31"/>
        </w:numPr>
        <w:spacing w:before="120" w:after="120"/>
        <w:rPr>
          <w:rFonts w:cs="Arial"/>
          <w:szCs w:val="22"/>
          <w:lang w:val="es-ES"/>
        </w:rPr>
      </w:pPr>
      <w:r>
        <w:rPr>
          <w:rFonts w:cs="Arial"/>
          <w:szCs w:val="22"/>
          <w:lang w:val="es-ES"/>
        </w:rPr>
        <w:t xml:space="preserve">La Distribuidora </w:t>
      </w:r>
      <w:r w:rsidRPr="0031558E">
        <w:rPr>
          <w:rFonts w:cs="Arial"/>
          <w:szCs w:val="22"/>
          <w:lang w:val="es-ES"/>
        </w:rPr>
        <w:t xml:space="preserve">en el plazo de DIEZ (10) hábiles administrativos computados a partir del vencimiento del plazo indicado en el </w:t>
      </w:r>
      <w:r w:rsidR="00F12BBE">
        <w:rPr>
          <w:rFonts w:cs="Arial"/>
          <w:szCs w:val="22"/>
          <w:lang w:val="es-ES"/>
        </w:rPr>
        <w:t xml:space="preserve">punto </w:t>
      </w:r>
      <w:r w:rsidR="00F41577">
        <w:rPr>
          <w:rFonts w:cs="Arial"/>
          <w:szCs w:val="22"/>
          <w:lang w:val="es-ES"/>
        </w:rPr>
        <w:t>b</w:t>
      </w:r>
      <w:r w:rsidR="00F12BBE">
        <w:rPr>
          <w:rFonts w:cs="Arial"/>
          <w:szCs w:val="22"/>
          <w:lang w:val="es-ES"/>
        </w:rPr>
        <w:t>)</w:t>
      </w:r>
      <w:r>
        <w:rPr>
          <w:rFonts w:cs="Arial"/>
          <w:szCs w:val="22"/>
          <w:lang w:val="es-ES"/>
        </w:rPr>
        <w:t xml:space="preserve"> debe</w:t>
      </w:r>
      <w:r w:rsidR="002D0102">
        <w:rPr>
          <w:rFonts w:cs="Arial"/>
          <w:szCs w:val="22"/>
          <w:lang w:val="es-ES"/>
        </w:rPr>
        <w:t>rá</w:t>
      </w:r>
      <w:r>
        <w:rPr>
          <w:rFonts w:cs="Arial"/>
          <w:szCs w:val="22"/>
          <w:lang w:val="es-ES"/>
        </w:rPr>
        <w:t xml:space="preserve"> informar</w:t>
      </w:r>
      <w:r w:rsidRPr="0031558E">
        <w:rPr>
          <w:rFonts w:cs="Arial"/>
          <w:szCs w:val="22"/>
          <w:lang w:val="es-ES"/>
        </w:rPr>
        <w:t xml:space="preserve"> al ENRE sobre el cumplimiento del proceso de acreditación </w:t>
      </w:r>
      <w:r w:rsidR="00C3403C">
        <w:rPr>
          <w:rFonts w:cs="Arial"/>
          <w:szCs w:val="22"/>
          <w:lang w:val="es-ES"/>
        </w:rPr>
        <w:t>e</w:t>
      </w:r>
      <w:r w:rsidRPr="0031558E">
        <w:rPr>
          <w:rFonts w:cs="Arial"/>
          <w:szCs w:val="22"/>
          <w:lang w:val="es-ES"/>
        </w:rPr>
        <w:t>n las cuentas de los usuarios, mediante documentación certificada por Auditor Externo o Contador Público independiente cuya firma se encuentre certificada por el Consejo Profesional respectivo. Deberá constar, para cada usuario, además del monto acreditado, la fecha en la que se efectuó la correspondiente acreditación.</w:t>
      </w:r>
    </w:p>
    <w:p w:rsidR="00F12BBE" w:rsidRDefault="0031558E" w:rsidP="00F12BBE">
      <w:pPr>
        <w:pStyle w:val="Prrafodelista"/>
        <w:numPr>
          <w:ilvl w:val="0"/>
          <w:numId w:val="31"/>
        </w:numPr>
        <w:spacing w:before="120" w:after="120"/>
        <w:rPr>
          <w:rFonts w:cs="Arial"/>
          <w:szCs w:val="22"/>
          <w:lang w:val="es-ES"/>
        </w:rPr>
      </w:pPr>
      <w:r w:rsidRPr="00F12BBE">
        <w:rPr>
          <w:rFonts w:cs="Arial"/>
          <w:szCs w:val="22"/>
          <w:lang w:val="es-ES"/>
        </w:rPr>
        <w:t>Para el caso de usuarios dados de baja al momento de efectuar la acreditación prevista, deberá darse cumplimiento a lo dispuesto en el punto 5.5.4 del Subanexo 4 del Contrato de Concesión de cada Distribuidora</w:t>
      </w:r>
      <w:r w:rsidR="00F12BBE">
        <w:rPr>
          <w:rFonts w:cs="Arial"/>
          <w:szCs w:val="22"/>
          <w:lang w:val="es-ES"/>
        </w:rPr>
        <w:t>.</w:t>
      </w:r>
    </w:p>
    <w:p w:rsidR="0031558E" w:rsidRPr="0031558E" w:rsidRDefault="00F12BBE" w:rsidP="00F12BBE">
      <w:pPr>
        <w:pStyle w:val="Prrafodelista"/>
        <w:numPr>
          <w:ilvl w:val="0"/>
          <w:numId w:val="31"/>
        </w:numPr>
        <w:spacing w:before="120" w:after="120"/>
        <w:rPr>
          <w:rFonts w:cs="Arial"/>
          <w:szCs w:val="22"/>
          <w:lang w:val="es-ES"/>
        </w:rPr>
      </w:pPr>
      <w:r w:rsidRPr="00F12BBE">
        <w:rPr>
          <w:rFonts w:cs="Arial"/>
          <w:szCs w:val="22"/>
          <w:lang w:val="es-ES"/>
        </w:rPr>
        <w:t>En el mismo plazo que</w:t>
      </w:r>
      <w:r>
        <w:rPr>
          <w:rFonts w:cs="Arial"/>
          <w:szCs w:val="22"/>
          <w:lang w:val="es-ES"/>
        </w:rPr>
        <w:t xml:space="preserve"> el establecido en el punto </w:t>
      </w:r>
      <w:r w:rsidR="00F41577">
        <w:rPr>
          <w:rFonts w:cs="Arial"/>
          <w:szCs w:val="22"/>
          <w:lang w:val="es-ES"/>
        </w:rPr>
        <w:t>c</w:t>
      </w:r>
      <w:r>
        <w:rPr>
          <w:rFonts w:cs="Arial"/>
          <w:szCs w:val="22"/>
          <w:lang w:val="es-ES"/>
        </w:rPr>
        <w:t>)</w:t>
      </w:r>
      <w:r w:rsidRPr="00F12BBE">
        <w:rPr>
          <w:rFonts w:cs="Arial"/>
          <w:szCs w:val="22"/>
          <w:lang w:val="es-ES"/>
        </w:rPr>
        <w:t xml:space="preserve"> precedente </w:t>
      </w:r>
      <w:r>
        <w:rPr>
          <w:rFonts w:cs="Arial"/>
          <w:szCs w:val="22"/>
          <w:lang w:val="es-ES"/>
        </w:rPr>
        <w:t>la Distribuidora</w:t>
      </w:r>
      <w:r w:rsidRPr="00F12BBE">
        <w:rPr>
          <w:rFonts w:cs="Arial"/>
          <w:szCs w:val="22"/>
          <w:lang w:val="es-ES"/>
        </w:rPr>
        <w:t xml:space="preserve"> deberá entregar al ENRE copia firmada por su representante o apoderado de la documentación respaldatoria del depósito resultante de lo dispuesto en el </w:t>
      </w:r>
      <w:r>
        <w:rPr>
          <w:rFonts w:cs="Arial"/>
          <w:szCs w:val="22"/>
          <w:lang w:val="es-ES"/>
        </w:rPr>
        <w:t>punto e).</w:t>
      </w:r>
    </w:p>
    <w:p w:rsidR="0031558E" w:rsidRPr="0031558E" w:rsidRDefault="0031558E" w:rsidP="00F12BBE">
      <w:pPr>
        <w:pStyle w:val="Prrafodelista"/>
        <w:numPr>
          <w:ilvl w:val="0"/>
          <w:numId w:val="31"/>
        </w:numPr>
        <w:spacing w:before="120" w:after="120"/>
        <w:rPr>
          <w:rFonts w:cs="Arial"/>
          <w:szCs w:val="22"/>
          <w:lang w:val="es-ES"/>
        </w:rPr>
      </w:pPr>
      <w:r w:rsidRPr="0031558E">
        <w:rPr>
          <w:rFonts w:cs="Arial"/>
          <w:szCs w:val="22"/>
          <w:lang w:val="es-ES"/>
        </w:rPr>
        <w:t xml:space="preserve">El monto </w:t>
      </w:r>
      <w:r w:rsidR="00C3403C">
        <w:rPr>
          <w:rFonts w:cs="Arial"/>
          <w:szCs w:val="22"/>
          <w:lang w:val="es-ES"/>
        </w:rPr>
        <w:t xml:space="preserve">a acreditar a cada usuario </w:t>
      </w:r>
      <w:r w:rsidR="00F12BBE">
        <w:rPr>
          <w:rFonts w:cs="Arial"/>
          <w:szCs w:val="22"/>
          <w:lang w:val="es-ES"/>
        </w:rPr>
        <w:t>establecido en el punto a)</w:t>
      </w:r>
      <w:r w:rsidRPr="0031558E">
        <w:rPr>
          <w:rFonts w:cs="Arial"/>
          <w:szCs w:val="22"/>
          <w:lang w:val="es-ES"/>
        </w:rPr>
        <w:t xml:space="preserve"> se deberá incluir como crédito en la primera factura de servicio (o Liquidación de Se</w:t>
      </w:r>
      <w:r w:rsidR="00F12BBE">
        <w:rPr>
          <w:rFonts w:cs="Arial"/>
          <w:szCs w:val="22"/>
          <w:lang w:val="es-ES"/>
        </w:rPr>
        <w:t>rvicios Públicos -LSP-) que la D</w:t>
      </w:r>
      <w:r w:rsidRPr="0031558E">
        <w:rPr>
          <w:rFonts w:cs="Arial"/>
          <w:szCs w:val="22"/>
          <w:lang w:val="es-ES"/>
        </w:rPr>
        <w:t xml:space="preserve">istribuidora emita a los usuarios transcurrido el plazo indicado en el </w:t>
      </w:r>
      <w:r w:rsidR="00F12BBE">
        <w:rPr>
          <w:rFonts w:cs="Arial"/>
          <w:szCs w:val="22"/>
          <w:lang w:val="es-ES"/>
        </w:rPr>
        <w:t>punto c)</w:t>
      </w:r>
      <w:r w:rsidRPr="0031558E">
        <w:rPr>
          <w:rFonts w:cs="Arial"/>
          <w:szCs w:val="22"/>
          <w:lang w:val="es-ES"/>
        </w:rPr>
        <w:t>, consignando en dicha factura, en forma desagregada, con mención expresa de</w:t>
      </w:r>
      <w:r w:rsidR="00F12BBE">
        <w:rPr>
          <w:rFonts w:cs="Arial"/>
          <w:szCs w:val="22"/>
          <w:lang w:val="es-ES"/>
        </w:rPr>
        <w:t>l acto administrativo que establezca la sanción</w:t>
      </w:r>
      <w:r w:rsidRPr="0031558E">
        <w:rPr>
          <w:rFonts w:cs="Arial"/>
          <w:szCs w:val="22"/>
          <w:lang w:val="es-ES"/>
        </w:rPr>
        <w:t xml:space="preserve">, el crédito determinado, debiendo asimismo hacerse constar en ella, cuando el crédito exceda su importe, el saldo remanente. </w:t>
      </w:r>
    </w:p>
    <w:p w:rsidR="0031558E" w:rsidRPr="0031558E" w:rsidRDefault="0031558E" w:rsidP="00F12BBE">
      <w:pPr>
        <w:pStyle w:val="Prrafodelista"/>
        <w:numPr>
          <w:ilvl w:val="0"/>
          <w:numId w:val="31"/>
        </w:numPr>
        <w:spacing w:before="120" w:after="120"/>
        <w:rPr>
          <w:rFonts w:cs="Arial"/>
          <w:szCs w:val="22"/>
          <w:lang w:val="es-ES"/>
        </w:rPr>
      </w:pPr>
      <w:r w:rsidRPr="0031558E">
        <w:rPr>
          <w:rFonts w:cs="Arial"/>
          <w:szCs w:val="22"/>
          <w:lang w:val="es-ES"/>
        </w:rPr>
        <w:t>En caso de que dicho crédito superase el valor final correspondiente a la próxima factura, el saldo restante deberá necesariamente ser acreditado en las subsiguientes facturas hasta la concurrencia de los créditos y débitos a ser compensados.</w:t>
      </w:r>
    </w:p>
    <w:p w:rsidR="00E63227" w:rsidRPr="00933C63" w:rsidRDefault="0031558E" w:rsidP="007937B7">
      <w:pPr>
        <w:pStyle w:val="Prrafodelista"/>
        <w:numPr>
          <w:ilvl w:val="0"/>
          <w:numId w:val="31"/>
        </w:numPr>
        <w:spacing w:before="120" w:after="120"/>
        <w:rPr>
          <w:rFonts w:cs="Arial"/>
          <w:szCs w:val="22"/>
          <w:lang w:val="es-ES"/>
        </w:rPr>
      </w:pPr>
      <w:r w:rsidRPr="00933C63">
        <w:rPr>
          <w:rFonts w:cs="Arial"/>
          <w:szCs w:val="22"/>
          <w:lang w:val="es-ES"/>
        </w:rPr>
        <w:t xml:space="preserve">Para el caso de que </w:t>
      </w:r>
      <w:r w:rsidR="00F12BBE" w:rsidRPr="00933C63">
        <w:rPr>
          <w:rFonts w:cs="Arial"/>
          <w:szCs w:val="22"/>
          <w:lang w:val="es-ES"/>
        </w:rPr>
        <w:t xml:space="preserve">la Distribuidora </w:t>
      </w:r>
      <w:r w:rsidRPr="00933C63">
        <w:rPr>
          <w:rFonts w:cs="Arial"/>
          <w:szCs w:val="22"/>
          <w:lang w:val="es-ES"/>
        </w:rPr>
        <w:t xml:space="preserve">no diese cumplimiento al procedimiento de acreditación que se establece en </w:t>
      </w:r>
      <w:r w:rsidR="00742080" w:rsidRPr="00933C63">
        <w:rPr>
          <w:rFonts w:cs="Arial"/>
          <w:szCs w:val="22"/>
          <w:lang w:val="es-ES"/>
        </w:rPr>
        <w:t xml:space="preserve">el </w:t>
      </w:r>
      <w:r w:rsidRPr="00933C63">
        <w:rPr>
          <w:rFonts w:cs="Arial"/>
          <w:szCs w:val="22"/>
          <w:lang w:val="es-ES"/>
        </w:rPr>
        <w:t xml:space="preserve">presente </w:t>
      </w:r>
      <w:r w:rsidR="00C567ED">
        <w:rPr>
          <w:rFonts w:cs="Arial"/>
          <w:szCs w:val="22"/>
          <w:lang w:val="es-ES"/>
        </w:rPr>
        <w:t>Régimen</w:t>
      </w:r>
      <w:r w:rsidRPr="00933C63">
        <w:rPr>
          <w:rFonts w:cs="Arial"/>
          <w:szCs w:val="22"/>
          <w:lang w:val="es-ES"/>
        </w:rPr>
        <w:t xml:space="preserve">, </w:t>
      </w:r>
      <w:r w:rsidR="00742080" w:rsidRPr="00933C63">
        <w:rPr>
          <w:rFonts w:cs="Arial"/>
          <w:szCs w:val="22"/>
          <w:lang w:val="es-ES"/>
        </w:rPr>
        <w:t>el ENRE</w:t>
      </w:r>
      <w:r w:rsidRPr="00933C63">
        <w:rPr>
          <w:rFonts w:cs="Arial"/>
          <w:szCs w:val="22"/>
          <w:lang w:val="es-ES"/>
        </w:rPr>
        <w:t xml:space="preserve"> procederá a aplicarle una multa con destino al Tesoro Nacional equivalente al doble del valor que se debiera haber registrado, conforme a lo establecido en el numeral 3.3.2 “Determinación del Resarcimiento” del Subanexo IV de su Contrato de </w:t>
      </w:r>
      <w:r w:rsidRPr="00933C63">
        <w:rPr>
          <w:rFonts w:cs="Arial"/>
          <w:szCs w:val="22"/>
          <w:lang w:val="es-ES"/>
        </w:rPr>
        <w:lastRenderedPageBreak/>
        <w:t>Concesión.</w:t>
      </w:r>
    </w:p>
    <w:sectPr w:rsidR="00E63227" w:rsidRPr="00933C63" w:rsidSect="001B12EC">
      <w:headerReference w:type="default" r:id="rId11"/>
      <w:footerReference w:type="even" r:id="rId12"/>
      <w:footerReference w:type="default" r:id="rId13"/>
      <w:pgSz w:w="11906" w:h="16838"/>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67B" w:rsidRDefault="00C8167B">
      <w:r>
        <w:separator/>
      </w:r>
    </w:p>
  </w:endnote>
  <w:endnote w:type="continuationSeparator" w:id="0">
    <w:p w:rsidR="00C8167B" w:rsidRDefault="00C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AEA" w:rsidRDefault="006E1AEA" w:rsidP="0012115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E1AEA" w:rsidRDefault="006E1A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AEA" w:rsidRPr="001B12EC" w:rsidRDefault="006E1AEA" w:rsidP="00121151">
    <w:pPr>
      <w:pStyle w:val="Piedepgina"/>
      <w:framePr w:wrap="around" w:vAnchor="text" w:hAnchor="margin" w:xAlign="center" w:y="1"/>
      <w:rPr>
        <w:rStyle w:val="Nmerodepgina"/>
        <w:sz w:val="18"/>
        <w:szCs w:val="18"/>
      </w:rPr>
    </w:pPr>
    <w:r w:rsidRPr="001B12EC">
      <w:rPr>
        <w:rStyle w:val="Nmerodepgina"/>
        <w:sz w:val="18"/>
        <w:szCs w:val="18"/>
      </w:rPr>
      <w:fldChar w:fldCharType="begin"/>
    </w:r>
    <w:r w:rsidRPr="001B12EC">
      <w:rPr>
        <w:rStyle w:val="Nmerodepgina"/>
        <w:sz w:val="18"/>
        <w:szCs w:val="18"/>
      </w:rPr>
      <w:instrText xml:space="preserve">PAGE  </w:instrText>
    </w:r>
    <w:r w:rsidRPr="001B12EC">
      <w:rPr>
        <w:rStyle w:val="Nmerodepgina"/>
        <w:sz w:val="18"/>
        <w:szCs w:val="18"/>
      </w:rPr>
      <w:fldChar w:fldCharType="separate"/>
    </w:r>
    <w:r w:rsidR="00A15F30">
      <w:rPr>
        <w:rStyle w:val="Nmerodepgina"/>
        <w:noProof/>
        <w:sz w:val="18"/>
        <w:szCs w:val="18"/>
      </w:rPr>
      <w:t>6</w:t>
    </w:r>
    <w:r w:rsidRPr="001B12EC">
      <w:rPr>
        <w:rStyle w:val="Nmerodepgina"/>
        <w:sz w:val="18"/>
        <w:szCs w:val="18"/>
      </w:rPr>
      <w:fldChar w:fldCharType="end"/>
    </w:r>
  </w:p>
  <w:p w:rsidR="006E1AEA" w:rsidRDefault="006E1A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67B" w:rsidRDefault="00C8167B">
      <w:r>
        <w:separator/>
      </w:r>
    </w:p>
  </w:footnote>
  <w:footnote w:type="continuationSeparator" w:id="0">
    <w:p w:rsidR="00C8167B" w:rsidRDefault="00C8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AEA" w:rsidRDefault="00A15F30">
    <w:pPr>
      <w:pStyle w:val="Encabezado"/>
    </w:pPr>
    <w:r>
      <w:ptab w:relativeTo="margin" w:alignment="center" w:leader="none"/>
    </w:r>
    <w:r w:rsidRPr="00A15F30">
      <w:rPr>
        <w:b/>
        <w:sz w:val="24"/>
        <w:szCs w:val="24"/>
      </w:rPr>
      <w:ptab w:relativeTo="margin" w:alignment="right" w:leader="none"/>
    </w:r>
    <w:r w:rsidRPr="00A15F30">
      <w:rPr>
        <w:b/>
        <w:sz w:val="24"/>
        <w:szCs w:val="24"/>
      </w:rPr>
      <w:t>Anexo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25AB"/>
    <w:multiLevelType w:val="hybridMultilevel"/>
    <w:tmpl w:val="980A362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FCC42A5"/>
    <w:multiLevelType w:val="hybridMultilevel"/>
    <w:tmpl w:val="D736DAE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044219D"/>
    <w:multiLevelType w:val="hybridMultilevel"/>
    <w:tmpl w:val="56101D38"/>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15:restartNumberingAfterBreak="0">
    <w:nsid w:val="13F976A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257214"/>
    <w:multiLevelType w:val="hybridMultilevel"/>
    <w:tmpl w:val="504852D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49D6C5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EF4F90"/>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1B9964A1"/>
    <w:multiLevelType w:val="hybridMultilevel"/>
    <w:tmpl w:val="338E1C42"/>
    <w:lvl w:ilvl="0" w:tplc="89A27312">
      <w:start w:val="1"/>
      <w:numFmt w:val="upperRoman"/>
      <w:lvlText w:val="%1."/>
      <w:lvlJc w:val="left"/>
      <w:pPr>
        <w:ind w:left="1004"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DB902C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1A026B"/>
    <w:multiLevelType w:val="hybridMultilevel"/>
    <w:tmpl w:val="D0FE29FE"/>
    <w:lvl w:ilvl="0" w:tplc="2C0A000B">
      <w:start w:val="1"/>
      <w:numFmt w:val="bullet"/>
      <w:lvlText w:val=""/>
      <w:lvlJc w:val="left"/>
      <w:pPr>
        <w:ind w:left="1065" w:hanging="645"/>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230811F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C072C3"/>
    <w:multiLevelType w:val="hybridMultilevel"/>
    <w:tmpl w:val="3432BA28"/>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15:restartNumberingAfterBreak="0">
    <w:nsid w:val="2A3B5D80"/>
    <w:multiLevelType w:val="hybridMultilevel"/>
    <w:tmpl w:val="9A6E05B2"/>
    <w:lvl w:ilvl="0" w:tplc="2C0A0001">
      <w:start w:val="1"/>
      <w:numFmt w:val="bullet"/>
      <w:lvlText w:val=""/>
      <w:lvlJc w:val="left"/>
      <w:pPr>
        <w:ind w:left="1077" w:hanging="360"/>
      </w:pPr>
      <w:rPr>
        <w:rFonts w:ascii="Symbol" w:hAnsi="Symbol" w:hint="default"/>
      </w:rPr>
    </w:lvl>
    <w:lvl w:ilvl="1" w:tplc="2C0A0003" w:tentative="1">
      <w:start w:val="1"/>
      <w:numFmt w:val="bullet"/>
      <w:lvlText w:val="o"/>
      <w:lvlJc w:val="left"/>
      <w:pPr>
        <w:ind w:left="1797" w:hanging="360"/>
      </w:pPr>
      <w:rPr>
        <w:rFonts w:ascii="Courier New" w:hAnsi="Courier New" w:cs="Courier New" w:hint="default"/>
      </w:rPr>
    </w:lvl>
    <w:lvl w:ilvl="2" w:tplc="2C0A0005" w:tentative="1">
      <w:start w:val="1"/>
      <w:numFmt w:val="bullet"/>
      <w:lvlText w:val=""/>
      <w:lvlJc w:val="left"/>
      <w:pPr>
        <w:ind w:left="2517" w:hanging="360"/>
      </w:pPr>
      <w:rPr>
        <w:rFonts w:ascii="Wingdings" w:hAnsi="Wingdings" w:hint="default"/>
      </w:rPr>
    </w:lvl>
    <w:lvl w:ilvl="3" w:tplc="2C0A0001" w:tentative="1">
      <w:start w:val="1"/>
      <w:numFmt w:val="bullet"/>
      <w:lvlText w:val=""/>
      <w:lvlJc w:val="left"/>
      <w:pPr>
        <w:ind w:left="3237" w:hanging="360"/>
      </w:pPr>
      <w:rPr>
        <w:rFonts w:ascii="Symbol" w:hAnsi="Symbol" w:hint="default"/>
      </w:rPr>
    </w:lvl>
    <w:lvl w:ilvl="4" w:tplc="2C0A0003" w:tentative="1">
      <w:start w:val="1"/>
      <w:numFmt w:val="bullet"/>
      <w:lvlText w:val="o"/>
      <w:lvlJc w:val="left"/>
      <w:pPr>
        <w:ind w:left="3957" w:hanging="360"/>
      </w:pPr>
      <w:rPr>
        <w:rFonts w:ascii="Courier New" w:hAnsi="Courier New" w:cs="Courier New" w:hint="default"/>
      </w:rPr>
    </w:lvl>
    <w:lvl w:ilvl="5" w:tplc="2C0A0005" w:tentative="1">
      <w:start w:val="1"/>
      <w:numFmt w:val="bullet"/>
      <w:lvlText w:val=""/>
      <w:lvlJc w:val="left"/>
      <w:pPr>
        <w:ind w:left="4677" w:hanging="360"/>
      </w:pPr>
      <w:rPr>
        <w:rFonts w:ascii="Wingdings" w:hAnsi="Wingdings" w:hint="default"/>
      </w:rPr>
    </w:lvl>
    <w:lvl w:ilvl="6" w:tplc="2C0A0001" w:tentative="1">
      <w:start w:val="1"/>
      <w:numFmt w:val="bullet"/>
      <w:lvlText w:val=""/>
      <w:lvlJc w:val="left"/>
      <w:pPr>
        <w:ind w:left="5397" w:hanging="360"/>
      </w:pPr>
      <w:rPr>
        <w:rFonts w:ascii="Symbol" w:hAnsi="Symbol" w:hint="default"/>
      </w:rPr>
    </w:lvl>
    <w:lvl w:ilvl="7" w:tplc="2C0A0003" w:tentative="1">
      <w:start w:val="1"/>
      <w:numFmt w:val="bullet"/>
      <w:lvlText w:val="o"/>
      <w:lvlJc w:val="left"/>
      <w:pPr>
        <w:ind w:left="6117" w:hanging="360"/>
      </w:pPr>
      <w:rPr>
        <w:rFonts w:ascii="Courier New" w:hAnsi="Courier New" w:cs="Courier New" w:hint="default"/>
      </w:rPr>
    </w:lvl>
    <w:lvl w:ilvl="8" w:tplc="2C0A0005" w:tentative="1">
      <w:start w:val="1"/>
      <w:numFmt w:val="bullet"/>
      <w:lvlText w:val=""/>
      <w:lvlJc w:val="left"/>
      <w:pPr>
        <w:ind w:left="6837" w:hanging="360"/>
      </w:pPr>
      <w:rPr>
        <w:rFonts w:ascii="Wingdings" w:hAnsi="Wingdings" w:hint="default"/>
      </w:rPr>
    </w:lvl>
  </w:abstractNum>
  <w:abstractNum w:abstractNumId="13" w15:restartNumberingAfterBreak="0">
    <w:nsid w:val="2B773DB7"/>
    <w:multiLevelType w:val="hybridMultilevel"/>
    <w:tmpl w:val="B984AD28"/>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4084203"/>
    <w:multiLevelType w:val="hybridMultilevel"/>
    <w:tmpl w:val="51CA128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7271BB9"/>
    <w:multiLevelType w:val="hybridMultilevel"/>
    <w:tmpl w:val="90F0C0A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8ED20C9"/>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D73CF9"/>
    <w:multiLevelType w:val="hybridMultilevel"/>
    <w:tmpl w:val="D7A8035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184364D"/>
    <w:multiLevelType w:val="hybridMultilevel"/>
    <w:tmpl w:val="DF30CC2A"/>
    <w:lvl w:ilvl="0" w:tplc="2C0A000D">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9" w15:restartNumberingAfterBreak="0">
    <w:nsid w:val="42667D3B"/>
    <w:multiLevelType w:val="hybridMultilevel"/>
    <w:tmpl w:val="EEDAD1F6"/>
    <w:lvl w:ilvl="0" w:tplc="2C0A0017">
      <w:start w:val="1"/>
      <w:numFmt w:val="lowerLetter"/>
      <w:lvlText w:val="%1)"/>
      <w:lvlJc w:val="left"/>
      <w:pPr>
        <w:ind w:left="420" w:hanging="360"/>
      </w:pPr>
    </w:lvl>
    <w:lvl w:ilvl="1" w:tplc="2C0A0019">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20" w15:restartNumberingAfterBreak="0">
    <w:nsid w:val="434611CE"/>
    <w:multiLevelType w:val="hybridMultilevel"/>
    <w:tmpl w:val="5A5AA89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52107445"/>
    <w:multiLevelType w:val="hybridMultilevel"/>
    <w:tmpl w:val="94867032"/>
    <w:lvl w:ilvl="0" w:tplc="2C0A000B">
      <w:start w:val="1"/>
      <w:numFmt w:val="bullet"/>
      <w:lvlText w:val=""/>
      <w:lvlJc w:val="left"/>
      <w:pPr>
        <w:ind w:left="1140" w:hanging="360"/>
      </w:pPr>
      <w:rPr>
        <w:rFonts w:ascii="Wingdings" w:hAnsi="Wingdings" w:hint="default"/>
      </w:rPr>
    </w:lvl>
    <w:lvl w:ilvl="1" w:tplc="2C0A000D">
      <w:start w:val="1"/>
      <w:numFmt w:val="bullet"/>
      <w:lvlText w:val=""/>
      <w:lvlJc w:val="left"/>
      <w:pPr>
        <w:ind w:left="1860" w:hanging="360"/>
      </w:pPr>
      <w:rPr>
        <w:rFonts w:ascii="Wingdings" w:hAnsi="Wingdings" w:hint="default"/>
      </w:rPr>
    </w:lvl>
    <w:lvl w:ilvl="2" w:tplc="2C0A0005">
      <w:start w:val="1"/>
      <w:numFmt w:val="bullet"/>
      <w:lvlText w:val=""/>
      <w:lvlJc w:val="left"/>
      <w:pPr>
        <w:ind w:left="2580" w:hanging="360"/>
      </w:pPr>
      <w:rPr>
        <w:rFonts w:ascii="Wingdings" w:hAnsi="Wingdings" w:hint="default"/>
      </w:rPr>
    </w:lvl>
    <w:lvl w:ilvl="3" w:tplc="2C0A0001" w:tentative="1">
      <w:start w:val="1"/>
      <w:numFmt w:val="bullet"/>
      <w:lvlText w:val=""/>
      <w:lvlJc w:val="left"/>
      <w:pPr>
        <w:ind w:left="3300" w:hanging="360"/>
      </w:pPr>
      <w:rPr>
        <w:rFonts w:ascii="Symbol" w:hAnsi="Symbol" w:hint="default"/>
      </w:rPr>
    </w:lvl>
    <w:lvl w:ilvl="4" w:tplc="2C0A0003" w:tentative="1">
      <w:start w:val="1"/>
      <w:numFmt w:val="bullet"/>
      <w:lvlText w:val="o"/>
      <w:lvlJc w:val="left"/>
      <w:pPr>
        <w:ind w:left="4020" w:hanging="360"/>
      </w:pPr>
      <w:rPr>
        <w:rFonts w:ascii="Courier New" w:hAnsi="Courier New" w:cs="Courier New" w:hint="default"/>
      </w:rPr>
    </w:lvl>
    <w:lvl w:ilvl="5" w:tplc="2C0A0005" w:tentative="1">
      <w:start w:val="1"/>
      <w:numFmt w:val="bullet"/>
      <w:lvlText w:val=""/>
      <w:lvlJc w:val="left"/>
      <w:pPr>
        <w:ind w:left="4740" w:hanging="360"/>
      </w:pPr>
      <w:rPr>
        <w:rFonts w:ascii="Wingdings" w:hAnsi="Wingdings" w:hint="default"/>
      </w:rPr>
    </w:lvl>
    <w:lvl w:ilvl="6" w:tplc="2C0A0001" w:tentative="1">
      <w:start w:val="1"/>
      <w:numFmt w:val="bullet"/>
      <w:lvlText w:val=""/>
      <w:lvlJc w:val="left"/>
      <w:pPr>
        <w:ind w:left="5460" w:hanging="360"/>
      </w:pPr>
      <w:rPr>
        <w:rFonts w:ascii="Symbol" w:hAnsi="Symbol" w:hint="default"/>
      </w:rPr>
    </w:lvl>
    <w:lvl w:ilvl="7" w:tplc="2C0A0003" w:tentative="1">
      <w:start w:val="1"/>
      <w:numFmt w:val="bullet"/>
      <w:lvlText w:val="o"/>
      <w:lvlJc w:val="left"/>
      <w:pPr>
        <w:ind w:left="6180" w:hanging="360"/>
      </w:pPr>
      <w:rPr>
        <w:rFonts w:ascii="Courier New" w:hAnsi="Courier New" w:cs="Courier New" w:hint="default"/>
      </w:rPr>
    </w:lvl>
    <w:lvl w:ilvl="8" w:tplc="2C0A0005" w:tentative="1">
      <w:start w:val="1"/>
      <w:numFmt w:val="bullet"/>
      <w:lvlText w:val=""/>
      <w:lvlJc w:val="left"/>
      <w:pPr>
        <w:ind w:left="6900" w:hanging="360"/>
      </w:pPr>
      <w:rPr>
        <w:rFonts w:ascii="Wingdings" w:hAnsi="Wingdings" w:hint="default"/>
      </w:rPr>
    </w:lvl>
  </w:abstractNum>
  <w:abstractNum w:abstractNumId="22" w15:restartNumberingAfterBreak="0">
    <w:nsid w:val="554D2F90"/>
    <w:multiLevelType w:val="hybridMultilevel"/>
    <w:tmpl w:val="11EAB760"/>
    <w:lvl w:ilvl="0" w:tplc="0C0A0009">
      <w:start w:val="1"/>
      <w:numFmt w:val="bullet"/>
      <w:lvlText w:val=""/>
      <w:lvlJc w:val="left"/>
      <w:pPr>
        <w:tabs>
          <w:tab w:val="num" w:pos="1422"/>
        </w:tabs>
        <w:ind w:left="1422" w:hanging="360"/>
      </w:pPr>
      <w:rPr>
        <w:rFonts w:ascii="Wingdings" w:hAnsi="Wingdings" w:hint="default"/>
      </w:rPr>
    </w:lvl>
    <w:lvl w:ilvl="1" w:tplc="0C0A0003" w:tentative="1">
      <w:start w:val="1"/>
      <w:numFmt w:val="bullet"/>
      <w:lvlText w:val="o"/>
      <w:lvlJc w:val="left"/>
      <w:pPr>
        <w:tabs>
          <w:tab w:val="num" w:pos="2142"/>
        </w:tabs>
        <w:ind w:left="2142" w:hanging="360"/>
      </w:pPr>
      <w:rPr>
        <w:rFonts w:ascii="Courier New" w:hAnsi="Courier New" w:hint="default"/>
      </w:rPr>
    </w:lvl>
    <w:lvl w:ilvl="2" w:tplc="0C0A0005" w:tentative="1">
      <w:start w:val="1"/>
      <w:numFmt w:val="bullet"/>
      <w:lvlText w:val=""/>
      <w:lvlJc w:val="left"/>
      <w:pPr>
        <w:tabs>
          <w:tab w:val="num" w:pos="2862"/>
        </w:tabs>
        <w:ind w:left="2862" w:hanging="360"/>
      </w:pPr>
      <w:rPr>
        <w:rFonts w:ascii="Wingdings" w:hAnsi="Wingdings" w:hint="default"/>
      </w:rPr>
    </w:lvl>
    <w:lvl w:ilvl="3" w:tplc="0C0A0001" w:tentative="1">
      <w:start w:val="1"/>
      <w:numFmt w:val="bullet"/>
      <w:lvlText w:val=""/>
      <w:lvlJc w:val="left"/>
      <w:pPr>
        <w:tabs>
          <w:tab w:val="num" w:pos="3582"/>
        </w:tabs>
        <w:ind w:left="3582" w:hanging="360"/>
      </w:pPr>
      <w:rPr>
        <w:rFonts w:ascii="Symbol" w:hAnsi="Symbol" w:hint="default"/>
      </w:rPr>
    </w:lvl>
    <w:lvl w:ilvl="4" w:tplc="0C0A0003" w:tentative="1">
      <w:start w:val="1"/>
      <w:numFmt w:val="bullet"/>
      <w:lvlText w:val="o"/>
      <w:lvlJc w:val="left"/>
      <w:pPr>
        <w:tabs>
          <w:tab w:val="num" w:pos="4302"/>
        </w:tabs>
        <w:ind w:left="4302" w:hanging="360"/>
      </w:pPr>
      <w:rPr>
        <w:rFonts w:ascii="Courier New" w:hAnsi="Courier New" w:hint="default"/>
      </w:rPr>
    </w:lvl>
    <w:lvl w:ilvl="5" w:tplc="0C0A0005" w:tentative="1">
      <w:start w:val="1"/>
      <w:numFmt w:val="bullet"/>
      <w:lvlText w:val=""/>
      <w:lvlJc w:val="left"/>
      <w:pPr>
        <w:tabs>
          <w:tab w:val="num" w:pos="5022"/>
        </w:tabs>
        <w:ind w:left="5022" w:hanging="360"/>
      </w:pPr>
      <w:rPr>
        <w:rFonts w:ascii="Wingdings" w:hAnsi="Wingdings" w:hint="default"/>
      </w:rPr>
    </w:lvl>
    <w:lvl w:ilvl="6" w:tplc="0C0A0001" w:tentative="1">
      <w:start w:val="1"/>
      <w:numFmt w:val="bullet"/>
      <w:lvlText w:val=""/>
      <w:lvlJc w:val="left"/>
      <w:pPr>
        <w:tabs>
          <w:tab w:val="num" w:pos="5742"/>
        </w:tabs>
        <w:ind w:left="5742" w:hanging="360"/>
      </w:pPr>
      <w:rPr>
        <w:rFonts w:ascii="Symbol" w:hAnsi="Symbol" w:hint="default"/>
      </w:rPr>
    </w:lvl>
    <w:lvl w:ilvl="7" w:tplc="0C0A0003" w:tentative="1">
      <w:start w:val="1"/>
      <w:numFmt w:val="bullet"/>
      <w:lvlText w:val="o"/>
      <w:lvlJc w:val="left"/>
      <w:pPr>
        <w:tabs>
          <w:tab w:val="num" w:pos="6462"/>
        </w:tabs>
        <w:ind w:left="6462" w:hanging="360"/>
      </w:pPr>
      <w:rPr>
        <w:rFonts w:ascii="Courier New" w:hAnsi="Courier New" w:hint="default"/>
      </w:rPr>
    </w:lvl>
    <w:lvl w:ilvl="8" w:tplc="0C0A0005" w:tentative="1">
      <w:start w:val="1"/>
      <w:numFmt w:val="bullet"/>
      <w:lvlText w:val=""/>
      <w:lvlJc w:val="left"/>
      <w:pPr>
        <w:tabs>
          <w:tab w:val="num" w:pos="7182"/>
        </w:tabs>
        <w:ind w:left="7182" w:hanging="360"/>
      </w:pPr>
      <w:rPr>
        <w:rFonts w:ascii="Wingdings" w:hAnsi="Wingdings" w:hint="default"/>
      </w:rPr>
    </w:lvl>
  </w:abstractNum>
  <w:abstractNum w:abstractNumId="23" w15:restartNumberingAfterBreak="0">
    <w:nsid w:val="582A0E04"/>
    <w:multiLevelType w:val="hybridMultilevel"/>
    <w:tmpl w:val="08C855E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EC43D0C"/>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440361"/>
    <w:multiLevelType w:val="hybridMultilevel"/>
    <w:tmpl w:val="BBB0D77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090376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27188E"/>
    <w:multiLevelType w:val="hybridMultilevel"/>
    <w:tmpl w:val="338E1C42"/>
    <w:lvl w:ilvl="0" w:tplc="89A27312">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9F3560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11B5AC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237C86"/>
    <w:multiLevelType w:val="hybridMultilevel"/>
    <w:tmpl w:val="849CEDF4"/>
    <w:lvl w:ilvl="0" w:tplc="E6502AD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E8058E8"/>
    <w:multiLevelType w:val="hybridMultilevel"/>
    <w:tmpl w:val="20FCB29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9"/>
  </w:num>
  <w:num w:numId="4">
    <w:abstractNumId w:val="1"/>
  </w:num>
  <w:num w:numId="5">
    <w:abstractNumId w:val="18"/>
  </w:num>
  <w:num w:numId="6">
    <w:abstractNumId w:val="25"/>
  </w:num>
  <w:num w:numId="7">
    <w:abstractNumId w:val="22"/>
  </w:num>
  <w:num w:numId="8">
    <w:abstractNumId w:val="11"/>
  </w:num>
  <w:num w:numId="9">
    <w:abstractNumId w:val="7"/>
  </w:num>
  <w:num w:numId="10">
    <w:abstractNumId w:val="21"/>
  </w:num>
  <w:num w:numId="11">
    <w:abstractNumId w:val="26"/>
  </w:num>
  <w:num w:numId="12">
    <w:abstractNumId w:val="24"/>
  </w:num>
  <w:num w:numId="13">
    <w:abstractNumId w:val="10"/>
  </w:num>
  <w:num w:numId="14">
    <w:abstractNumId w:val="3"/>
  </w:num>
  <w:num w:numId="15">
    <w:abstractNumId w:val="16"/>
  </w:num>
  <w:num w:numId="16">
    <w:abstractNumId w:val="28"/>
  </w:num>
  <w:num w:numId="17">
    <w:abstractNumId w:val="5"/>
  </w:num>
  <w:num w:numId="18">
    <w:abstractNumId w:val="6"/>
  </w:num>
  <w:num w:numId="19">
    <w:abstractNumId w:val="29"/>
  </w:num>
  <w:num w:numId="20">
    <w:abstractNumId w:val="8"/>
  </w:num>
  <w:num w:numId="21">
    <w:abstractNumId w:val="14"/>
  </w:num>
  <w:num w:numId="22">
    <w:abstractNumId w:val="17"/>
  </w:num>
  <w:num w:numId="23">
    <w:abstractNumId w:val="0"/>
  </w:num>
  <w:num w:numId="24">
    <w:abstractNumId w:val="20"/>
  </w:num>
  <w:num w:numId="25">
    <w:abstractNumId w:val="12"/>
  </w:num>
  <w:num w:numId="26">
    <w:abstractNumId w:val="23"/>
  </w:num>
  <w:num w:numId="27">
    <w:abstractNumId w:val="2"/>
  </w:num>
  <w:num w:numId="28">
    <w:abstractNumId w:val="27"/>
  </w:num>
  <w:num w:numId="29">
    <w:abstractNumId w:val="13"/>
  </w:num>
  <w:num w:numId="30">
    <w:abstractNumId w:val="4"/>
  </w:num>
  <w:num w:numId="31">
    <w:abstractNumId w:val="15"/>
  </w:num>
  <w:num w:numId="32">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pt-BR"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0D"/>
    <w:rsid w:val="00000C01"/>
    <w:rsid w:val="0000139E"/>
    <w:rsid w:val="0000181F"/>
    <w:rsid w:val="0000774F"/>
    <w:rsid w:val="00016AB2"/>
    <w:rsid w:val="00021B24"/>
    <w:rsid w:val="00026B8F"/>
    <w:rsid w:val="00027FBD"/>
    <w:rsid w:val="00031AB1"/>
    <w:rsid w:val="00031CA7"/>
    <w:rsid w:val="000368CC"/>
    <w:rsid w:val="00040FEC"/>
    <w:rsid w:val="00043570"/>
    <w:rsid w:val="0004473C"/>
    <w:rsid w:val="00044BE3"/>
    <w:rsid w:val="000545C7"/>
    <w:rsid w:val="000549AE"/>
    <w:rsid w:val="00056532"/>
    <w:rsid w:val="00062677"/>
    <w:rsid w:val="00066264"/>
    <w:rsid w:val="000674AA"/>
    <w:rsid w:val="00071120"/>
    <w:rsid w:val="00076DEB"/>
    <w:rsid w:val="000776DC"/>
    <w:rsid w:val="000778D5"/>
    <w:rsid w:val="00085C64"/>
    <w:rsid w:val="0008780D"/>
    <w:rsid w:val="00087E51"/>
    <w:rsid w:val="00092A1C"/>
    <w:rsid w:val="000939C6"/>
    <w:rsid w:val="00095345"/>
    <w:rsid w:val="00097B4E"/>
    <w:rsid w:val="000A6328"/>
    <w:rsid w:val="000A67C8"/>
    <w:rsid w:val="000B2407"/>
    <w:rsid w:val="000B323C"/>
    <w:rsid w:val="000B6D6D"/>
    <w:rsid w:val="000C1896"/>
    <w:rsid w:val="000C2372"/>
    <w:rsid w:val="000D0DFC"/>
    <w:rsid w:val="000D0FC9"/>
    <w:rsid w:val="000D10AE"/>
    <w:rsid w:val="000D254E"/>
    <w:rsid w:val="000D3287"/>
    <w:rsid w:val="000D39EA"/>
    <w:rsid w:val="000D4452"/>
    <w:rsid w:val="000D690A"/>
    <w:rsid w:val="000E18C4"/>
    <w:rsid w:val="000E1DB1"/>
    <w:rsid w:val="000E268E"/>
    <w:rsid w:val="000E58BE"/>
    <w:rsid w:val="000E7308"/>
    <w:rsid w:val="000E7C88"/>
    <w:rsid w:val="000F2744"/>
    <w:rsid w:val="000F5FBC"/>
    <w:rsid w:val="000F630A"/>
    <w:rsid w:val="000F767A"/>
    <w:rsid w:val="000F77B9"/>
    <w:rsid w:val="00106DBA"/>
    <w:rsid w:val="00112873"/>
    <w:rsid w:val="00113F26"/>
    <w:rsid w:val="00115DD8"/>
    <w:rsid w:val="00116367"/>
    <w:rsid w:val="0011684F"/>
    <w:rsid w:val="00121151"/>
    <w:rsid w:val="001225FB"/>
    <w:rsid w:val="0012314A"/>
    <w:rsid w:val="00124700"/>
    <w:rsid w:val="00124ABE"/>
    <w:rsid w:val="00124DCD"/>
    <w:rsid w:val="00130EE9"/>
    <w:rsid w:val="00132980"/>
    <w:rsid w:val="001329A8"/>
    <w:rsid w:val="00146551"/>
    <w:rsid w:val="001472DE"/>
    <w:rsid w:val="001578A4"/>
    <w:rsid w:val="00160BFC"/>
    <w:rsid w:val="00161EE9"/>
    <w:rsid w:val="00162F59"/>
    <w:rsid w:val="00164CBB"/>
    <w:rsid w:val="00165A49"/>
    <w:rsid w:val="001662B0"/>
    <w:rsid w:val="00166742"/>
    <w:rsid w:val="00167380"/>
    <w:rsid w:val="00170C1A"/>
    <w:rsid w:val="00173658"/>
    <w:rsid w:val="001736E1"/>
    <w:rsid w:val="001746F7"/>
    <w:rsid w:val="00175A6A"/>
    <w:rsid w:val="00176FB8"/>
    <w:rsid w:val="00190D83"/>
    <w:rsid w:val="00197C0C"/>
    <w:rsid w:val="001A190E"/>
    <w:rsid w:val="001A2CA2"/>
    <w:rsid w:val="001A6C7B"/>
    <w:rsid w:val="001B12EC"/>
    <w:rsid w:val="001B2369"/>
    <w:rsid w:val="001B2F72"/>
    <w:rsid w:val="001B3CE9"/>
    <w:rsid w:val="001B744B"/>
    <w:rsid w:val="001B780A"/>
    <w:rsid w:val="001C1759"/>
    <w:rsid w:val="001C2E45"/>
    <w:rsid w:val="001C2F2F"/>
    <w:rsid w:val="001C3A1F"/>
    <w:rsid w:val="001C48FD"/>
    <w:rsid w:val="001D392F"/>
    <w:rsid w:val="001D7A19"/>
    <w:rsid w:val="001E0EF8"/>
    <w:rsid w:val="001E2303"/>
    <w:rsid w:val="001E3A50"/>
    <w:rsid w:val="001E43E6"/>
    <w:rsid w:val="001F414D"/>
    <w:rsid w:val="001F4F43"/>
    <w:rsid w:val="001F5D1B"/>
    <w:rsid w:val="002050F2"/>
    <w:rsid w:val="002065BE"/>
    <w:rsid w:val="002065D3"/>
    <w:rsid w:val="002072DB"/>
    <w:rsid w:val="00210CCB"/>
    <w:rsid w:val="00211A86"/>
    <w:rsid w:val="0021286C"/>
    <w:rsid w:val="00214294"/>
    <w:rsid w:val="00214DB4"/>
    <w:rsid w:val="0021558D"/>
    <w:rsid w:val="0021684C"/>
    <w:rsid w:val="00222472"/>
    <w:rsid w:val="00223038"/>
    <w:rsid w:val="002231AB"/>
    <w:rsid w:val="002236E1"/>
    <w:rsid w:val="00230B30"/>
    <w:rsid w:val="002316B5"/>
    <w:rsid w:val="00231BD3"/>
    <w:rsid w:val="0023253F"/>
    <w:rsid w:val="00235DB4"/>
    <w:rsid w:val="002417FA"/>
    <w:rsid w:val="0024479E"/>
    <w:rsid w:val="00245762"/>
    <w:rsid w:val="00247B1E"/>
    <w:rsid w:val="0025024E"/>
    <w:rsid w:val="002509AF"/>
    <w:rsid w:val="00252543"/>
    <w:rsid w:val="002538FF"/>
    <w:rsid w:val="00253ABA"/>
    <w:rsid w:val="00264B65"/>
    <w:rsid w:val="0027016F"/>
    <w:rsid w:val="00271A5F"/>
    <w:rsid w:val="002753D2"/>
    <w:rsid w:val="00275BC2"/>
    <w:rsid w:val="00275D6E"/>
    <w:rsid w:val="00281C83"/>
    <w:rsid w:val="00282EF9"/>
    <w:rsid w:val="0029154F"/>
    <w:rsid w:val="002921CC"/>
    <w:rsid w:val="00294131"/>
    <w:rsid w:val="00294AC4"/>
    <w:rsid w:val="00297A32"/>
    <w:rsid w:val="002A104D"/>
    <w:rsid w:val="002A3B62"/>
    <w:rsid w:val="002B05D5"/>
    <w:rsid w:val="002B7D30"/>
    <w:rsid w:val="002C4B15"/>
    <w:rsid w:val="002C7469"/>
    <w:rsid w:val="002D0102"/>
    <w:rsid w:val="002D04D0"/>
    <w:rsid w:val="002D0A28"/>
    <w:rsid w:val="002D2780"/>
    <w:rsid w:val="002D7E83"/>
    <w:rsid w:val="002D7ECE"/>
    <w:rsid w:val="002E3361"/>
    <w:rsid w:val="002E485F"/>
    <w:rsid w:val="002F049D"/>
    <w:rsid w:val="002F0A39"/>
    <w:rsid w:val="002F20A1"/>
    <w:rsid w:val="002F37C2"/>
    <w:rsid w:val="002F41CF"/>
    <w:rsid w:val="002F4D22"/>
    <w:rsid w:val="002F52D5"/>
    <w:rsid w:val="00302479"/>
    <w:rsid w:val="0030538B"/>
    <w:rsid w:val="0031558E"/>
    <w:rsid w:val="0032154C"/>
    <w:rsid w:val="00321D60"/>
    <w:rsid w:val="00324901"/>
    <w:rsid w:val="00330E00"/>
    <w:rsid w:val="00334AC1"/>
    <w:rsid w:val="003369FA"/>
    <w:rsid w:val="00340E15"/>
    <w:rsid w:val="00344F47"/>
    <w:rsid w:val="0034596B"/>
    <w:rsid w:val="00346631"/>
    <w:rsid w:val="00347402"/>
    <w:rsid w:val="00347A16"/>
    <w:rsid w:val="003513BB"/>
    <w:rsid w:val="00352DDD"/>
    <w:rsid w:val="0035413E"/>
    <w:rsid w:val="00355F22"/>
    <w:rsid w:val="0036060C"/>
    <w:rsid w:val="00360B9D"/>
    <w:rsid w:val="003617E1"/>
    <w:rsid w:val="00364988"/>
    <w:rsid w:val="003654D1"/>
    <w:rsid w:val="00366C39"/>
    <w:rsid w:val="00366E3A"/>
    <w:rsid w:val="0038030F"/>
    <w:rsid w:val="00382A8C"/>
    <w:rsid w:val="003832F7"/>
    <w:rsid w:val="00384416"/>
    <w:rsid w:val="0038581A"/>
    <w:rsid w:val="0038615D"/>
    <w:rsid w:val="00387D34"/>
    <w:rsid w:val="00393CA1"/>
    <w:rsid w:val="003956F3"/>
    <w:rsid w:val="003A2DE8"/>
    <w:rsid w:val="003A49B8"/>
    <w:rsid w:val="003A5DB1"/>
    <w:rsid w:val="003A6F31"/>
    <w:rsid w:val="003B1124"/>
    <w:rsid w:val="003B21CE"/>
    <w:rsid w:val="003B2C23"/>
    <w:rsid w:val="003B6863"/>
    <w:rsid w:val="003C0016"/>
    <w:rsid w:val="003D1207"/>
    <w:rsid w:val="003D1943"/>
    <w:rsid w:val="003D22BB"/>
    <w:rsid w:val="003D2ABB"/>
    <w:rsid w:val="003D381F"/>
    <w:rsid w:val="003E0E6E"/>
    <w:rsid w:val="003E4BC0"/>
    <w:rsid w:val="003E684E"/>
    <w:rsid w:val="003E6C3D"/>
    <w:rsid w:val="003E718C"/>
    <w:rsid w:val="003F142D"/>
    <w:rsid w:val="003F18E5"/>
    <w:rsid w:val="003F3573"/>
    <w:rsid w:val="003F4665"/>
    <w:rsid w:val="003F72DC"/>
    <w:rsid w:val="003F7CCD"/>
    <w:rsid w:val="004005B4"/>
    <w:rsid w:val="0040135B"/>
    <w:rsid w:val="00407E68"/>
    <w:rsid w:val="00410562"/>
    <w:rsid w:val="00412F92"/>
    <w:rsid w:val="00414527"/>
    <w:rsid w:val="0042125B"/>
    <w:rsid w:val="004226C0"/>
    <w:rsid w:val="00423424"/>
    <w:rsid w:val="00423BCF"/>
    <w:rsid w:val="00425E17"/>
    <w:rsid w:val="00425FC4"/>
    <w:rsid w:val="004329ED"/>
    <w:rsid w:val="004330DF"/>
    <w:rsid w:val="00433AD0"/>
    <w:rsid w:val="00434549"/>
    <w:rsid w:val="00434947"/>
    <w:rsid w:val="00436346"/>
    <w:rsid w:val="00436522"/>
    <w:rsid w:val="004414D1"/>
    <w:rsid w:val="00441642"/>
    <w:rsid w:val="00441DF2"/>
    <w:rsid w:val="00443681"/>
    <w:rsid w:val="00451B82"/>
    <w:rsid w:val="004521F3"/>
    <w:rsid w:val="004529A2"/>
    <w:rsid w:val="00456FB3"/>
    <w:rsid w:val="004628D8"/>
    <w:rsid w:val="004647FD"/>
    <w:rsid w:val="00464E7E"/>
    <w:rsid w:val="0046724F"/>
    <w:rsid w:val="00467C9C"/>
    <w:rsid w:val="00470831"/>
    <w:rsid w:val="00472FD8"/>
    <w:rsid w:val="00475568"/>
    <w:rsid w:val="00475E65"/>
    <w:rsid w:val="00483724"/>
    <w:rsid w:val="00485630"/>
    <w:rsid w:val="00485EB7"/>
    <w:rsid w:val="004877C4"/>
    <w:rsid w:val="00492C01"/>
    <w:rsid w:val="004A4CB0"/>
    <w:rsid w:val="004A6922"/>
    <w:rsid w:val="004A7081"/>
    <w:rsid w:val="004A7EBD"/>
    <w:rsid w:val="004B05FE"/>
    <w:rsid w:val="004B5EDD"/>
    <w:rsid w:val="004C56F4"/>
    <w:rsid w:val="004D06F6"/>
    <w:rsid w:val="004D3984"/>
    <w:rsid w:val="004E2BB9"/>
    <w:rsid w:val="004E2F48"/>
    <w:rsid w:val="004E361E"/>
    <w:rsid w:val="004F046B"/>
    <w:rsid w:val="004F1F11"/>
    <w:rsid w:val="004F2E88"/>
    <w:rsid w:val="004F3D13"/>
    <w:rsid w:val="004F5DB2"/>
    <w:rsid w:val="004F6DCA"/>
    <w:rsid w:val="00502D81"/>
    <w:rsid w:val="005047CC"/>
    <w:rsid w:val="00507AED"/>
    <w:rsid w:val="00511739"/>
    <w:rsid w:val="005145C3"/>
    <w:rsid w:val="00514A25"/>
    <w:rsid w:val="00517A23"/>
    <w:rsid w:val="00520C14"/>
    <w:rsid w:val="00522D6B"/>
    <w:rsid w:val="00525796"/>
    <w:rsid w:val="00533FCF"/>
    <w:rsid w:val="00535449"/>
    <w:rsid w:val="00540324"/>
    <w:rsid w:val="0054091B"/>
    <w:rsid w:val="00542A4D"/>
    <w:rsid w:val="00545832"/>
    <w:rsid w:val="00546B48"/>
    <w:rsid w:val="00553B8D"/>
    <w:rsid w:val="0055473E"/>
    <w:rsid w:val="00554CCF"/>
    <w:rsid w:val="005622FE"/>
    <w:rsid w:val="00562437"/>
    <w:rsid w:val="0056274F"/>
    <w:rsid w:val="00565900"/>
    <w:rsid w:val="005678BE"/>
    <w:rsid w:val="00573674"/>
    <w:rsid w:val="00574251"/>
    <w:rsid w:val="00574620"/>
    <w:rsid w:val="00576292"/>
    <w:rsid w:val="00576E1A"/>
    <w:rsid w:val="00580921"/>
    <w:rsid w:val="00587C67"/>
    <w:rsid w:val="0059056C"/>
    <w:rsid w:val="005950AC"/>
    <w:rsid w:val="005A141B"/>
    <w:rsid w:val="005A2336"/>
    <w:rsid w:val="005A4364"/>
    <w:rsid w:val="005A4BF5"/>
    <w:rsid w:val="005A533F"/>
    <w:rsid w:val="005A78F4"/>
    <w:rsid w:val="005B7812"/>
    <w:rsid w:val="005C53DF"/>
    <w:rsid w:val="005C6006"/>
    <w:rsid w:val="005D0739"/>
    <w:rsid w:val="005E4A7F"/>
    <w:rsid w:val="005F2E20"/>
    <w:rsid w:val="005F3035"/>
    <w:rsid w:val="005F72C3"/>
    <w:rsid w:val="005F746D"/>
    <w:rsid w:val="006012FA"/>
    <w:rsid w:val="0060346A"/>
    <w:rsid w:val="00603858"/>
    <w:rsid w:val="00604B3E"/>
    <w:rsid w:val="00604F23"/>
    <w:rsid w:val="006078EA"/>
    <w:rsid w:val="0061170E"/>
    <w:rsid w:val="00611B10"/>
    <w:rsid w:val="00612555"/>
    <w:rsid w:val="00615516"/>
    <w:rsid w:val="0062442C"/>
    <w:rsid w:val="00626C19"/>
    <w:rsid w:val="00630100"/>
    <w:rsid w:val="0063151E"/>
    <w:rsid w:val="00634515"/>
    <w:rsid w:val="00634A29"/>
    <w:rsid w:val="00637971"/>
    <w:rsid w:val="006472A7"/>
    <w:rsid w:val="006528F4"/>
    <w:rsid w:val="00653C98"/>
    <w:rsid w:val="0065403B"/>
    <w:rsid w:val="006547BE"/>
    <w:rsid w:val="0065563E"/>
    <w:rsid w:val="00665514"/>
    <w:rsid w:val="00667BBC"/>
    <w:rsid w:val="00667D79"/>
    <w:rsid w:val="00670867"/>
    <w:rsid w:val="00673E0E"/>
    <w:rsid w:val="00675348"/>
    <w:rsid w:val="006804C7"/>
    <w:rsid w:val="00685E8C"/>
    <w:rsid w:val="0068639E"/>
    <w:rsid w:val="00687859"/>
    <w:rsid w:val="00687A99"/>
    <w:rsid w:val="00692306"/>
    <w:rsid w:val="0069249D"/>
    <w:rsid w:val="006933EE"/>
    <w:rsid w:val="00696BAC"/>
    <w:rsid w:val="006A07B5"/>
    <w:rsid w:val="006A10A8"/>
    <w:rsid w:val="006A11C1"/>
    <w:rsid w:val="006A182B"/>
    <w:rsid w:val="006A61AA"/>
    <w:rsid w:val="006A6E47"/>
    <w:rsid w:val="006B04DB"/>
    <w:rsid w:val="006B5A63"/>
    <w:rsid w:val="006C3CA5"/>
    <w:rsid w:val="006C59C7"/>
    <w:rsid w:val="006C726A"/>
    <w:rsid w:val="006C72A9"/>
    <w:rsid w:val="006D0A81"/>
    <w:rsid w:val="006E06E7"/>
    <w:rsid w:val="006E1786"/>
    <w:rsid w:val="006E1AEA"/>
    <w:rsid w:val="006E3898"/>
    <w:rsid w:val="006F0182"/>
    <w:rsid w:val="006F1DC4"/>
    <w:rsid w:val="006F2427"/>
    <w:rsid w:val="006F3EA1"/>
    <w:rsid w:val="006F4C63"/>
    <w:rsid w:val="006F5EC6"/>
    <w:rsid w:val="006F656F"/>
    <w:rsid w:val="006F6CDA"/>
    <w:rsid w:val="006F7DEE"/>
    <w:rsid w:val="00701EE9"/>
    <w:rsid w:val="0070746C"/>
    <w:rsid w:val="00711CD1"/>
    <w:rsid w:val="00712241"/>
    <w:rsid w:val="007147B1"/>
    <w:rsid w:val="0071617F"/>
    <w:rsid w:val="0071620D"/>
    <w:rsid w:val="0071637B"/>
    <w:rsid w:val="007203E1"/>
    <w:rsid w:val="00722BCB"/>
    <w:rsid w:val="00724782"/>
    <w:rsid w:val="007272A5"/>
    <w:rsid w:val="00732278"/>
    <w:rsid w:val="007345C3"/>
    <w:rsid w:val="007352AC"/>
    <w:rsid w:val="00742080"/>
    <w:rsid w:val="00743901"/>
    <w:rsid w:val="00743A64"/>
    <w:rsid w:val="00746545"/>
    <w:rsid w:val="0074794F"/>
    <w:rsid w:val="00754AD4"/>
    <w:rsid w:val="007607FB"/>
    <w:rsid w:val="00761510"/>
    <w:rsid w:val="0076582A"/>
    <w:rsid w:val="0076692A"/>
    <w:rsid w:val="00767154"/>
    <w:rsid w:val="0076781F"/>
    <w:rsid w:val="00776088"/>
    <w:rsid w:val="00776C02"/>
    <w:rsid w:val="00780718"/>
    <w:rsid w:val="00781774"/>
    <w:rsid w:val="0078303D"/>
    <w:rsid w:val="00783DD4"/>
    <w:rsid w:val="00791AF5"/>
    <w:rsid w:val="00792476"/>
    <w:rsid w:val="00792A88"/>
    <w:rsid w:val="007949D2"/>
    <w:rsid w:val="00794EB7"/>
    <w:rsid w:val="00795FC5"/>
    <w:rsid w:val="007A0272"/>
    <w:rsid w:val="007A0A0C"/>
    <w:rsid w:val="007A1C43"/>
    <w:rsid w:val="007A5312"/>
    <w:rsid w:val="007A5DA9"/>
    <w:rsid w:val="007B19F4"/>
    <w:rsid w:val="007B38C3"/>
    <w:rsid w:val="007B65B7"/>
    <w:rsid w:val="007B7213"/>
    <w:rsid w:val="007B78EB"/>
    <w:rsid w:val="007C0684"/>
    <w:rsid w:val="007C1042"/>
    <w:rsid w:val="007C4918"/>
    <w:rsid w:val="007C7151"/>
    <w:rsid w:val="007C75CC"/>
    <w:rsid w:val="007D3538"/>
    <w:rsid w:val="007D4380"/>
    <w:rsid w:val="007D5605"/>
    <w:rsid w:val="007E1501"/>
    <w:rsid w:val="00801041"/>
    <w:rsid w:val="00801CF3"/>
    <w:rsid w:val="0080267F"/>
    <w:rsid w:val="00805CA2"/>
    <w:rsid w:val="00806343"/>
    <w:rsid w:val="00806F6B"/>
    <w:rsid w:val="00812BFD"/>
    <w:rsid w:val="0081519C"/>
    <w:rsid w:val="00822CAA"/>
    <w:rsid w:val="00827D7D"/>
    <w:rsid w:val="00831045"/>
    <w:rsid w:val="00832C75"/>
    <w:rsid w:val="00835EC5"/>
    <w:rsid w:val="00840171"/>
    <w:rsid w:val="00844096"/>
    <w:rsid w:val="00846A93"/>
    <w:rsid w:val="008516A8"/>
    <w:rsid w:val="00855824"/>
    <w:rsid w:val="00856277"/>
    <w:rsid w:val="00860200"/>
    <w:rsid w:val="00863169"/>
    <w:rsid w:val="00863979"/>
    <w:rsid w:val="00872D80"/>
    <w:rsid w:val="00874835"/>
    <w:rsid w:val="00883403"/>
    <w:rsid w:val="00885707"/>
    <w:rsid w:val="0089056C"/>
    <w:rsid w:val="00891486"/>
    <w:rsid w:val="00891867"/>
    <w:rsid w:val="0089221C"/>
    <w:rsid w:val="0089446F"/>
    <w:rsid w:val="008979B8"/>
    <w:rsid w:val="00897C01"/>
    <w:rsid w:val="008A1AEA"/>
    <w:rsid w:val="008A5EC2"/>
    <w:rsid w:val="008A7B9F"/>
    <w:rsid w:val="008B09D7"/>
    <w:rsid w:val="008B32BF"/>
    <w:rsid w:val="008B3C7A"/>
    <w:rsid w:val="008C5CBB"/>
    <w:rsid w:val="008C5F7F"/>
    <w:rsid w:val="008C7AF8"/>
    <w:rsid w:val="008D6578"/>
    <w:rsid w:val="008D7BC0"/>
    <w:rsid w:val="008E6BB4"/>
    <w:rsid w:val="008F178C"/>
    <w:rsid w:val="00900820"/>
    <w:rsid w:val="00902379"/>
    <w:rsid w:val="0090300B"/>
    <w:rsid w:val="00903D6C"/>
    <w:rsid w:val="009105EF"/>
    <w:rsid w:val="00912F71"/>
    <w:rsid w:val="00916651"/>
    <w:rsid w:val="00916907"/>
    <w:rsid w:val="00924136"/>
    <w:rsid w:val="009259C7"/>
    <w:rsid w:val="009327C9"/>
    <w:rsid w:val="00933A2C"/>
    <w:rsid w:val="00933C63"/>
    <w:rsid w:val="009367D7"/>
    <w:rsid w:val="00941C14"/>
    <w:rsid w:val="009439DD"/>
    <w:rsid w:val="00943DB7"/>
    <w:rsid w:val="00945C4C"/>
    <w:rsid w:val="009464A7"/>
    <w:rsid w:val="0095424B"/>
    <w:rsid w:val="009576E5"/>
    <w:rsid w:val="00963E77"/>
    <w:rsid w:val="0096400A"/>
    <w:rsid w:val="009667A8"/>
    <w:rsid w:val="0097228B"/>
    <w:rsid w:val="009768A2"/>
    <w:rsid w:val="00976BC1"/>
    <w:rsid w:val="009778EF"/>
    <w:rsid w:val="00980E5E"/>
    <w:rsid w:val="00983942"/>
    <w:rsid w:val="009848BD"/>
    <w:rsid w:val="0098554A"/>
    <w:rsid w:val="00987A60"/>
    <w:rsid w:val="0099106D"/>
    <w:rsid w:val="0099576F"/>
    <w:rsid w:val="009A58AF"/>
    <w:rsid w:val="009B3D5C"/>
    <w:rsid w:val="009C0585"/>
    <w:rsid w:val="009C6318"/>
    <w:rsid w:val="009C7A31"/>
    <w:rsid w:val="009C7AF2"/>
    <w:rsid w:val="009D3306"/>
    <w:rsid w:val="009D352B"/>
    <w:rsid w:val="009E3515"/>
    <w:rsid w:val="009E358B"/>
    <w:rsid w:val="009E6198"/>
    <w:rsid w:val="009F072E"/>
    <w:rsid w:val="009F5885"/>
    <w:rsid w:val="009F6A1D"/>
    <w:rsid w:val="009F6E82"/>
    <w:rsid w:val="009F7F77"/>
    <w:rsid w:val="00A0027F"/>
    <w:rsid w:val="00A02320"/>
    <w:rsid w:val="00A14DA0"/>
    <w:rsid w:val="00A15B5E"/>
    <w:rsid w:val="00A15F30"/>
    <w:rsid w:val="00A177B8"/>
    <w:rsid w:val="00A17854"/>
    <w:rsid w:val="00A20B49"/>
    <w:rsid w:val="00A2760A"/>
    <w:rsid w:val="00A35C15"/>
    <w:rsid w:val="00A361B6"/>
    <w:rsid w:val="00A36D5F"/>
    <w:rsid w:val="00A43015"/>
    <w:rsid w:val="00A43BD0"/>
    <w:rsid w:val="00A45B7D"/>
    <w:rsid w:val="00A45E7D"/>
    <w:rsid w:val="00A479A2"/>
    <w:rsid w:val="00A47B3D"/>
    <w:rsid w:val="00A51D8C"/>
    <w:rsid w:val="00A52BB7"/>
    <w:rsid w:val="00A5401B"/>
    <w:rsid w:val="00A5438A"/>
    <w:rsid w:val="00A56558"/>
    <w:rsid w:val="00A56EBE"/>
    <w:rsid w:val="00A57B74"/>
    <w:rsid w:val="00A62336"/>
    <w:rsid w:val="00A62897"/>
    <w:rsid w:val="00A628C0"/>
    <w:rsid w:val="00A722B5"/>
    <w:rsid w:val="00A745A5"/>
    <w:rsid w:val="00A84CC6"/>
    <w:rsid w:val="00A90475"/>
    <w:rsid w:val="00A94959"/>
    <w:rsid w:val="00AA6D4F"/>
    <w:rsid w:val="00AB344E"/>
    <w:rsid w:val="00AB37F0"/>
    <w:rsid w:val="00AB4A6C"/>
    <w:rsid w:val="00AB6998"/>
    <w:rsid w:val="00AC5BE9"/>
    <w:rsid w:val="00AC7E13"/>
    <w:rsid w:val="00AD0211"/>
    <w:rsid w:val="00AD0EF7"/>
    <w:rsid w:val="00AD18F0"/>
    <w:rsid w:val="00AD7228"/>
    <w:rsid w:val="00AE02B1"/>
    <w:rsid w:val="00AE1E05"/>
    <w:rsid w:val="00AE7BD4"/>
    <w:rsid w:val="00B137F3"/>
    <w:rsid w:val="00B13CEF"/>
    <w:rsid w:val="00B15E61"/>
    <w:rsid w:val="00B20286"/>
    <w:rsid w:val="00B21F27"/>
    <w:rsid w:val="00B236C2"/>
    <w:rsid w:val="00B23A59"/>
    <w:rsid w:val="00B24519"/>
    <w:rsid w:val="00B249AA"/>
    <w:rsid w:val="00B26190"/>
    <w:rsid w:val="00B26FF1"/>
    <w:rsid w:val="00B37C8B"/>
    <w:rsid w:val="00B41B85"/>
    <w:rsid w:val="00B4585B"/>
    <w:rsid w:val="00B465A7"/>
    <w:rsid w:val="00B50E94"/>
    <w:rsid w:val="00B50FE1"/>
    <w:rsid w:val="00B51BAF"/>
    <w:rsid w:val="00B51F81"/>
    <w:rsid w:val="00B57B9C"/>
    <w:rsid w:val="00B60CA3"/>
    <w:rsid w:val="00B631D3"/>
    <w:rsid w:val="00B65015"/>
    <w:rsid w:val="00B66191"/>
    <w:rsid w:val="00B663F8"/>
    <w:rsid w:val="00B675BA"/>
    <w:rsid w:val="00B71FA7"/>
    <w:rsid w:val="00B73671"/>
    <w:rsid w:val="00B765FD"/>
    <w:rsid w:val="00B76E66"/>
    <w:rsid w:val="00B81511"/>
    <w:rsid w:val="00B8271B"/>
    <w:rsid w:val="00B831EB"/>
    <w:rsid w:val="00B9206B"/>
    <w:rsid w:val="00B942D0"/>
    <w:rsid w:val="00B94EFD"/>
    <w:rsid w:val="00BA1506"/>
    <w:rsid w:val="00BA289D"/>
    <w:rsid w:val="00BA2A91"/>
    <w:rsid w:val="00BA4369"/>
    <w:rsid w:val="00BA68FD"/>
    <w:rsid w:val="00BB3FEA"/>
    <w:rsid w:val="00BB60CF"/>
    <w:rsid w:val="00BB6AB7"/>
    <w:rsid w:val="00BB6D5A"/>
    <w:rsid w:val="00BC13C6"/>
    <w:rsid w:val="00BC1803"/>
    <w:rsid w:val="00BC2FE3"/>
    <w:rsid w:val="00BC3441"/>
    <w:rsid w:val="00BC52BD"/>
    <w:rsid w:val="00BC7E27"/>
    <w:rsid w:val="00BD6E0B"/>
    <w:rsid w:val="00BD70CA"/>
    <w:rsid w:val="00BE17E6"/>
    <w:rsid w:val="00BE4726"/>
    <w:rsid w:val="00BE5E15"/>
    <w:rsid w:val="00BF4438"/>
    <w:rsid w:val="00BF4B7B"/>
    <w:rsid w:val="00C013CE"/>
    <w:rsid w:val="00C060D2"/>
    <w:rsid w:val="00C06154"/>
    <w:rsid w:val="00C10789"/>
    <w:rsid w:val="00C132D1"/>
    <w:rsid w:val="00C14FD1"/>
    <w:rsid w:val="00C15D30"/>
    <w:rsid w:val="00C30EC0"/>
    <w:rsid w:val="00C32381"/>
    <w:rsid w:val="00C3403C"/>
    <w:rsid w:val="00C3434B"/>
    <w:rsid w:val="00C3610B"/>
    <w:rsid w:val="00C4154C"/>
    <w:rsid w:val="00C4365D"/>
    <w:rsid w:val="00C47A5F"/>
    <w:rsid w:val="00C500C1"/>
    <w:rsid w:val="00C529BB"/>
    <w:rsid w:val="00C536E5"/>
    <w:rsid w:val="00C561DE"/>
    <w:rsid w:val="00C563B5"/>
    <w:rsid w:val="00C567ED"/>
    <w:rsid w:val="00C6203A"/>
    <w:rsid w:val="00C64E7C"/>
    <w:rsid w:val="00C66426"/>
    <w:rsid w:val="00C67012"/>
    <w:rsid w:val="00C67E2F"/>
    <w:rsid w:val="00C724CE"/>
    <w:rsid w:val="00C760E2"/>
    <w:rsid w:val="00C76225"/>
    <w:rsid w:val="00C8167B"/>
    <w:rsid w:val="00C81839"/>
    <w:rsid w:val="00C87DAA"/>
    <w:rsid w:val="00C93BC9"/>
    <w:rsid w:val="00C94936"/>
    <w:rsid w:val="00CA0A7E"/>
    <w:rsid w:val="00CA1F33"/>
    <w:rsid w:val="00CA2256"/>
    <w:rsid w:val="00CA47BA"/>
    <w:rsid w:val="00CA7299"/>
    <w:rsid w:val="00CB1AF4"/>
    <w:rsid w:val="00CB1B79"/>
    <w:rsid w:val="00CB4DB1"/>
    <w:rsid w:val="00CC023C"/>
    <w:rsid w:val="00CC0C0C"/>
    <w:rsid w:val="00CC5D69"/>
    <w:rsid w:val="00CC672F"/>
    <w:rsid w:val="00CC689D"/>
    <w:rsid w:val="00CC705D"/>
    <w:rsid w:val="00CC7A11"/>
    <w:rsid w:val="00CD234E"/>
    <w:rsid w:val="00CD4DF7"/>
    <w:rsid w:val="00CD590F"/>
    <w:rsid w:val="00CD5FB2"/>
    <w:rsid w:val="00CD709D"/>
    <w:rsid w:val="00CD7861"/>
    <w:rsid w:val="00CE13A2"/>
    <w:rsid w:val="00CE1AF4"/>
    <w:rsid w:val="00CE3ED9"/>
    <w:rsid w:val="00CE55FE"/>
    <w:rsid w:val="00CE651D"/>
    <w:rsid w:val="00CE72BF"/>
    <w:rsid w:val="00CE740F"/>
    <w:rsid w:val="00CF0314"/>
    <w:rsid w:val="00CF20DC"/>
    <w:rsid w:val="00CF312F"/>
    <w:rsid w:val="00CF344D"/>
    <w:rsid w:val="00CF7CD2"/>
    <w:rsid w:val="00D004C8"/>
    <w:rsid w:val="00D02C67"/>
    <w:rsid w:val="00D04427"/>
    <w:rsid w:val="00D079F5"/>
    <w:rsid w:val="00D07DEA"/>
    <w:rsid w:val="00D07E1B"/>
    <w:rsid w:val="00D122E1"/>
    <w:rsid w:val="00D1621E"/>
    <w:rsid w:val="00D17836"/>
    <w:rsid w:val="00D210E3"/>
    <w:rsid w:val="00D21572"/>
    <w:rsid w:val="00D21590"/>
    <w:rsid w:val="00D24B17"/>
    <w:rsid w:val="00D2556E"/>
    <w:rsid w:val="00D32677"/>
    <w:rsid w:val="00D35BEE"/>
    <w:rsid w:val="00D36A06"/>
    <w:rsid w:val="00D45727"/>
    <w:rsid w:val="00D45F63"/>
    <w:rsid w:val="00D46D07"/>
    <w:rsid w:val="00D5155F"/>
    <w:rsid w:val="00D51B46"/>
    <w:rsid w:val="00D548AC"/>
    <w:rsid w:val="00D54D10"/>
    <w:rsid w:val="00D6790B"/>
    <w:rsid w:val="00D70B21"/>
    <w:rsid w:val="00D7679A"/>
    <w:rsid w:val="00D779C1"/>
    <w:rsid w:val="00D862BD"/>
    <w:rsid w:val="00D86898"/>
    <w:rsid w:val="00D86CAB"/>
    <w:rsid w:val="00D907C9"/>
    <w:rsid w:val="00D90B24"/>
    <w:rsid w:val="00D92328"/>
    <w:rsid w:val="00D95532"/>
    <w:rsid w:val="00D95661"/>
    <w:rsid w:val="00D977BF"/>
    <w:rsid w:val="00D97F62"/>
    <w:rsid w:val="00DA0F0D"/>
    <w:rsid w:val="00DA1716"/>
    <w:rsid w:val="00DA37CC"/>
    <w:rsid w:val="00DA39C8"/>
    <w:rsid w:val="00DA3A97"/>
    <w:rsid w:val="00DB0BB5"/>
    <w:rsid w:val="00DB40FF"/>
    <w:rsid w:val="00DB5973"/>
    <w:rsid w:val="00DC03A2"/>
    <w:rsid w:val="00DC0E73"/>
    <w:rsid w:val="00DD3D0B"/>
    <w:rsid w:val="00DD6838"/>
    <w:rsid w:val="00DD7E0A"/>
    <w:rsid w:val="00DE788F"/>
    <w:rsid w:val="00DF36E8"/>
    <w:rsid w:val="00DF4FD1"/>
    <w:rsid w:val="00DF592F"/>
    <w:rsid w:val="00DF67C5"/>
    <w:rsid w:val="00E00B47"/>
    <w:rsid w:val="00E04F64"/>
    <w:rsid w:val="00E06AD4"/>
    <w:rsid w:val="00E06CF1"/>
    <w:rsid w:val="00E14204"/>
    <w:rsid w:val="00E1461B"/>
    <w:rsid w:val="00E17BE6"/>
    <w:rsid w:val="00E212A3"/>
    <w:rsid w:val="00E21584"/>
    <w:rsid w:val="00E21C67"/>
    <w:rsid w:val="00E22E73"/>
    <w:rsid w:val="00E246F8"/>
    <w:rsid w:val="00E268BB"/>
    <w:rsid w:val="00E26914"/>
    <w:rsid w:val="00E3217A"/>
    <w:rsid w:val="00E33E4F"/>
    <w:rsid w:val="00E34ABD"/>
    <w:rsid w:val="00E4334F"/>
    <w:rsid w:val="00E50179"/>
    <w:rsid w:val="00E51A99"/>
    <w:rsid w:val="00E51CB7"/>
    <w:rsid w:val="00E52869"/>
    <w:rsid w:val="00E53799"/>
    <w:rsid w:val="00E55BF4"/>
    <w:rsid w:val="00E63227"/>
    <w:rsid w:val="00E7068A"/>
    <w:rsid w:val="00E7769E"/>
    <w:rsid w:val="00E7796D"/>
    <w:rsid w:val="00E8230B"/>
    <w:rsid w:val="00E83DE4"/>
    <w:rsid w:val="00E84384"/>
    <w:rsid w:val="00E84CEC"/>
    <w:rsid w:val="00E91EB3"/>
    <w:rsid w:val="00E9290C"/>
    <w:rsid w:val="00E93B8C"/>
    <w:rsid w:val="00EA07A9"/>
    <w:rsid w:val="00EA268A"/>
    <w:rsid w:val="00EA3B85"/>
    <w:rsid w:val="00EA4AC5"/>
    <w:rsid w:val="00EA54DB"/>
    <w:rsid w:val="00EB2314"/>
    <w:rsid w:val="00EB43DD"/>
    <w:rsid w:val="00EB5E9B"/>
    <w:rsid w:val="00EB6F35"/>
    <w:rsid w:val="00EC0FCB"/>
    <w:rsid w:val="00EC4044"/>
    <w:rsid w:val="00EC5F61"/>
    <w:rsid w:val="00ED738B"/>
    <w:rsid w:val="00EE1FD2"/>
    <w:rsid w:val="00EE33D5"/>
    <w:rsid w:val="00EE50D4"/>
    <w:rsid w:val="00EF1472"/>
    <w:rsid w:val="00EF29A9"/>
    <w:rsid w:val="00F02400"/>
    <w:rsid w:val="00F052F0"/>
    <w:rsid w:val="00F06723"/>
    <w:rsid w:val="00F12BBE"/>
    <w:rsid w:val="00F1358A"/>
    <w:rsid w:val="00F17344"/>
    <w:rsid w:val="00F17508"/>
    <w:rsid w:val="00F268A7"/>
    <w:rsid w:val="00F26D97"/>
    <w:rsid w:val="00F3015C"/>
    <w:rsid w:val="00F31FB8"/>
    <w:rsid w:val="00F34D6A"/>
    <w:rsid w:val="00F3529A"/>
    <w:rsid w:val="00F354C0"/>
    <w:rsid w:val="00F36647"/>
    <w:rsid w:val="00F3709F"/>
    <w:rsid w:val="00F41577"/>
    <w:rsid w:val="00F52BF0"/>
    <w:rsid w:val="00F52D24"/>
    <w:rsid w:val="00F555A9"/>
    <w:rsid w:val="00F61463"/>
    <w:rsid w:val="00F63480"/>
    <w:rsid w:val="00F640D3"/>
    <w:rsid w:val="00F65B4E"/>
    <w:rsid w:val="00F6643B"/>
    <w:rsid w:val="00F669B9"/>
    <w:rsid w:val="00F66C02"/>
    <w:rsid w:val="00F67E7F"/>
    <w:rsid w:val="00F721A2"/>
    <w:rsid w:val="00F723DA"/>
    <w:rsid w:val="00F737B1"/>
    <w:rsid w:val="00F73C0A"/>
    <w:rsid w:val="00F7412F"/>
    <w:rsid w:val="00F774E8"/>
    <w:rsid w:val="00F77AE5"/>
    <w:rsid w:val="00F80939"/>
    <w:rsid w:val="00F817CB"/>
    <w:rsid w:val="00F8201E"/>
    <w:rsid w:val="00F875F9"/>
    <w:rsid w:val="00F879A5"/>
    <w:rsid w:val="00F91667"/>
    <w:rsid w:val="00F92297"/>
    <w:rsid w:val="00F93949"/>
    <w:rsid w:val="00F93C7B"/>
    <w:rsid w:val="00F95B83"/>
    <w:rsid w:val="00FA04FB"/>
    <w:rsid w:val="00FA3A94"/>
    <w:rsid w:val="00FC591A"/>
    <w:rsid w:val="00FC7999"/>
    <w:rsid w:val="00FC7E13"/>
    <w:rsid w:val="00FD2710"/>
    <w:rsid w:val="00FD4FDB"/>
    <w:rsid w:val="00FD538C"/>
    <w:rsid w:val="00FD6EB1"/>
    <w:rsid w:val="00FE0322"/>
    <w:rsid w:val="00FE0A3F"/>
    <w:rsid w:val="00FE21BB"/>
    <w:rsid w:val="00FE399E"/>
    <w:rsid w:val="00FE4DFB"/>
    <w:rsid w:val="00FE5D1C"/>
    <w:rsid w:val="00FE6082"/>
    <w:rsid w:val="00FF3B55"/>
    <w:rsid w:val="00FF4843"/>
    <w:rsid w:val="00FF5BD2"/>
    <w:rsid w:val="00FF5C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97FC1B-68A1-468A-ABAF-4CE858E8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C0"/>
    <w:pPr>
      <w:widowControl w:val="0"/>
      <w:ind w:left="567"/>
      <w:jc w:val="both"/>
    </w:pPr>
    <w:rPr>
      <w:rFonts w:ascii="Arial" w:hAnsi="Arial"/>
      <w:sz w:val="22"/>
      <w:lang w:val="es-ES_tradnl" w:eastAsia="es-ES"/>
    </w:rPr>
  </w:style>
  <w:style w:type="paragraph" w:styleId="Ttulo4">
    <w:name w:val="heading 4"/>
    <w:basedOn w:val="Normal"/>
    <w:next w:val="Normal"/>
    <w:qFormat/>
    <w:rsid w:val="00DA0F0D"/>
    <w:pPr>
      <w:keepNext/>
      <w:shd w:val="pct20" w:color="auto" w:fill="auto"/>
      <w:tabs>
        <w:tab w:val="left" w:pos="1134"/>
      </w:tabs>
      <w:ind w:right="396"/>
      <w:outlineLvl w:val="3"/>
    </w:pPr>
    <w:rPr>
      <w:rFonts w:ascii="CG Omega (W1)" w:hAnsi="CG Omega (W1)"/>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rsid w:val="00DA0F0D"/>
    <w:pPr>
      <w:shd w:val="pct20" w:color="auto" w:fill="auto"/>
      <w:ind w:right="396"/>
      <w:jc w:val="center"/>
    </w:pPr>
    <w:rPr>
      <w:rFonts w:ascii="CG Omega (W1)" w:hAnsi="CG Omega (W1)"/>
      <w:b/>
      <w:i/>
      <w:sz w:val="28"/>
    </w:rPr>
  </w:style>
  <w:style w:type="paragraph" w:customStyle="1" w:styleId="Textodebloque1">
    <w:name w:val="Texto de bloque1"/>
    <w:basedOn w:val="Normal"/>
    <w:rsid w:val="00DA0F0D"/>
    <w:pPr>
      <w:tabs>
        <w:tab w:val="left" w:pos="1134"/>
      </w:tabs>
      <w:ind w:left="1134" w:right="396" w:hanging="567"/>
    </w:pPr>
    <w:rPr>
      <w:rFonts w:ascii="CG Omega (W1)" w:hAnsi="CG Omega (W1)"/>
      <w:b/>
      <w:sz w:val="24"/>
    </w:rPr>
  </w:style>
  <w:style w:type="paragraph" w:styleId="Textoindependiente">
    <w:name w:val="Body Text"/>
    <w:basedOn w:val="Normal"/>
    <w:rsid w:val="00160BFC"/>
    <w:pPr>
      <w:ind w:left="0" w:right="424"/>
    </w:pPr>
    <w:rPr>
      <w:rFonts w:ascii="Times New Roman" w:hAnsi="Times New Roman"/>
      <w:sz w:val="24"/>
      <w:lang w:val="es-AR"/>
    </w:rPr>
  </w:style>
  <w:style w:type="paragraph" w:styleId="Textodeglobo">
    <w:name w:val="Balloon Text"/>
    <w:basedOn w:val="Normal"/>
    <w:semiHidden/>
    <w:rsid w:val="00BF4B7B"/>
    <w:rPr>
      <w:rFonts w:ascii="Tahoma" w:hAnsi="Tahoma" w:cs="Tahoma"/>
      <w:sz w:val="16"/>
      <w:szCs w:val="16"/>
    </w:rPr>
  </w:style>
  <w:style w:type="paragraph" w:styleId="Textonotapie">
    <w:name w:val="footnote text"/>
    <w:basedOn w:val="Normal"/>
    <w:semiHidden/>
    <w:rsid w:val="00743A64"/>
    <w:rPr>
      <w:sz w:val="20"/>
    </w:rPr>
  </w:style>
  <w:style w:type="character" w:styleId="Refdenotaalpie">
    <w:name w:val="footnote reference"/>
    <w:aliases w:val="Ref,de nota al pie,Footnote number"/>
    <w:rsid w:val="00743A64"/>
    <w:rPr>
      <w:vertAlign w:val="superscript"/>
    </w:rPr>
  </w:style>
  <w:style w:type="paragraph" w:styleId="NormalWeb">
    <w:name w:val="Normal (Web)"/>
    <w:basedOn w:val="Normal"/>
    <w:rsid w:val="00945C4C"/>
    <w:pPr>
      <w:widowControl/>
      <w:spacing w:before="100" w:beforeAutospacing="1" w:after="100" w:afterAutospacing="1"/>
      <w:ind w:left="0"/>
      <w:jc w:val="left"/>
    </w:pPr>
    <w:rPr>
      <w:rFonts w:ascii="Times New Roman" w:hAnsi="Times New Roman"/>
      <w:sz w:val="24"/>
      <w:szCs w:val="24"/>
      <w:lang w:val="es-ES"/>
    </w:rPr>
  </w:style>
  <w:style w:type="paragraph" w:styleId="Sangra3detindependiente">
    <w:name w:val="Body Text Indent 3"/>
    <w:basedOn w:val="Normal"/>
    <w:rsid w:val="00AB6998"/>
    <w:pPr>
      <w:spacing w:after="120"/>
      <w:ind w:left="283"/>
    </w:pPr>
    <w:rPr>
      <w:sz w:val="16"/>
      <w:szCs w:val="16"/>
    </w:rPr>
  </w:style>
  <w:style w:type="paragraph" w:customStyle="1" w:styleId="Textoindependiente21">
    <w:name w:val="Texto independiente 21"/>
    <w:basedOn w:val="Normal"/>
    <w:rsid w:val="00CE1AF4"/>
    <w:pPr>
      <w:widowControl/>
    </w:pPr>
    <w:rPr>
      <w:rFonts w:ascii="Times New Roman" w:hAnsi="Times New Roman"/>
      <w:sz w:val="24"/>
      <w:lang w:val="es-ES"/>
    </w:rPr>
  </w:style>
  <w:style w:type="paragraph" w:styleId="Piedepgina">
    <w:name w:val="footer"/>
    <w:basedOn w:val="Normal"/>
    <w:rsid w:val="001B12EC"/>
    <w:pPr>
      <w:tabs>
        <w:tab w:val="center" w:pos="4252"/>
        <w:tab w:val="right" w:pos="8504"/>
      </w:tabs>
    </w:pPr>
  </w:style>
  <w:style w:type="character" w:styleId="Nmerodepgina">
    <w:name w:val="page number"/>
    <w:basedOn w:val="Fuentedeprrafopredeter"/>
    <w:rsid w:val="001B12EC"/>
  </w:style>
  <w:style w:type="paragraph" w:styleId="Encabezado">
    <w:name w:val="header"/>
    <w:basedOn w:val="Normal"/>
    <w:rsid w:val="001B12EC"/>
    <w:pPr>
      <w:tabs>
        <w:tab w:val="center" w:pos="4252"/>
        <w:tab w:val="right" w:pos="8504"/>
      </w:tabs>
    </w:pPr>
  </w:style>
  <w:style w:type="paragraph" w:styleId="Prrafodelista">
    <w:name w:val="List Paragraph"/>
    <w:basedOn w:val="Normal"/>
    <w:link w:val="PrrafodelistaCar"/>
    <w:uiPriority w:val="34"/>
    <w:qFormat/>
    <w:rsid w:val="0023253F"/>
    <w:pPr>
      <w:ind w:left="708"/>
    </w:pPr>
  </w:style>
  <w:style w:type="character" w:customStyle="1" w:styleId="PrrafodelistaCar">
    <w:name w:val="Párrafo de lista Car"/>
    <w:link w:val="Prrafodelista"/>
    <w:uiPriority w:val="34"/>
    <w:rsid w:val="00016AB2"/>
    <w:rPr>
      <w:rFonts w:ascii="Arial" w:hAnsi="Arial"/>
      <w:sz w:val="22"/>
      <w:lang w:val="es-ES_tradnl" w:eastAsia="es-ES"/>
    </w:rPr>
  </w:style>
  <w:style w:type="table" w:styleId="Tablaconcuadrcula">
    <w:name w:val="Table Grid"/>
    <w:basedOn w:val="Tablanormal"/>
    <w:rsid w:val="00743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387D34"/>
    <w:rPr>
      <w:rFonts w:ascii="Arial-BoldMT" w:hAnsi="Arial-BoldMT" w:hint="default"/>
      <w:b/>
      <w:bCs/>
      <w:i w:val="0"/>
      <w:iCs w:val="0"/>
      <w:color w:val="000000"/>
      <w:sz w:val="22"/>
      <w:szCs w:val="22"/>
    </w:rPr>
  </w:style>
  <w:style w:type="character" w:styleId="Textodelmarcadordeposicin">
    <w:name w:val="Placeholder Text"/>
    <w:basedOn w:val="Fuentedeprrafopredeter"/>
    <w:uiPriority w:val="99"/>
    <w:semiHidden/>
    <w:rsid w:val="00E779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0354">
      <w:bodyDiv w:val="1"/>
      <w:marLeft w:val="0"/>
      <w:marRight w:val="0"/>
      <w:marTop w:val="0"/>
      <w:marBottom w:val="0"/>
      <w:divBdr>
        <w:top w:val="none" w:sz="0" w:space="0" w:color="auto"/>
        <w:left w:val="none" w:sz="0" w:space="0" w:color="auto"/>
        <w:bottom w:val="none" w:sz="0" w:space="0" w:color="auto"/>
        <w:right w:val="none" w:sz="0" w:space="0" w:color="auto"/>
      </w:divBdr>
    </w:div>
    <w:div w:id="93596834">
      <w:bodyDiv w:val="1"/>
      <w:marLeft w:val="0"/>
      <w:marRight w:val="0"/>
      <w:marTop w:val="0"/>
      <w:marBottom w:val="0"/>
      <w:divBdr>
        <w:top w:val="none" w:sz="0" w:space="0" w:color="auto"/>
        <w:left w:val="none" w:sz="0" w:space="0" w:color="auto"/>
        <w:bottom w:val="none" w:sz="0" w:space="0" w:color="auto"/>
        <w:right w:val="none" w:sz="0" w:space="0" w:color="auto"/>
      </w:divBdr>
    </w:div>
    <w:div w:id="347028612">
      <w:bodyDiv w:val="1"/>
      <w:marLeft w:val="0"/>
      <w:marRight w:val="0"/>
      <w:marTop w:val="0"/>
      <w:marBottom w:val="0"/>
      <w:divBdr>
        <w:top w:val="none" w:sz="0" w:space="0" w:color="auto"/>
        <w:left w:val="none" w:sz="0" w:space="0" w:color="auto"/>
        <w:bottom w:val="none" w:sz="0" w:space="0" w:color="auto"/>
        <w:right w:val="none" w:sz="0" w:space="0" w:color="auto"/>
      </w:divBdr>
    </w:div>
    <w:div w:id="745734584">
      <w:bodyDiv w:val="1"/>
      <w:marLeft w:val="0"/>
      <w:marRight w:val="0"/>
      <w:marTop w:val="0"/>
      <w:marBottom w:val="0"/>
      <w:divBdr>
        <w:top w:val="none" w:sz="0" w:space="0" w:color="auto"/>
        <w:left w:val="none" w:sz="0" w:space="0" w:color="auto"/>
        <w:bottom w:val="none" w:sz="0" w:space="0" w:color="auto"/>
        <w:right w:val="none" w:sz="0" w:space="0" w:color="auto"/>
      </w:divBdr>
    </w:div>
    <w:div w:id="12100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5894A-8CC2-418C-8CE4-14C00B6A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2103</Words>
  <Characters>10349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MEMORANDUM  AAREE N°                      /10</vt:lpstr>
    </vt:vector>
  </TitlesOfParts>
  <Company>ENRE</Company>
  <LinksUpToDate>false</LinksUpToDate>
  <CharactersWithSpaces>12428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AAREE N°                      /10</dc:title>
  <dc:subject/>
  <dc:creator>MBiach</dc:creator>
  <cp:keywords/>
  <cp:lastModifiedBy>Claudia Caravelli</cp:lastModifiedBy>
  <cp:revision>3</cp:revision>
  <cp:lastPrinted>2018-05-21T14:36:00Z</cp:lastPrinted>
  <dcterms:created xsi:type="dcterms:W3CDTF">2018-05-28T19:37:00Z</dcterms:created>
  <dcterms:modified xsi:type="dcterms:W3CDTF">2018-05-28T20:16:00Z</dcterms:modified>
</cp:coreProperties>
</file>