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DF" w:rsidRDefault="001D02DF" w:rsidP="002E5181">
      <w:pPr>
        <w:pStyle w:val="Textosinformato"/>
        <w:tabs>
          <w:tab w:val="left" w:pos="1843"/>
          <w:tab w:val="left" w:pos="4111"/>
          <w:tab w:val="left" w:pos="7230"/>
        </w:tabs>
        <w:spacing w:line="480" w:lineRule="auto"/>
        <w:jc w:val="center"/>
        <w:rPr>
          <w:rFonts w:ascii="Arial" w:hAnsi="Arial" w:cs="Times New Roman"/>
          <w:b/>
          <w:sz w:val="22"/>
          <w:u w:val="single"/>
          <w:lang w:val="es-ES_tradnl" w:eastAsia="es-AR"/>
        </w:rPr>
      </w:pPr>
    </w:p>
    <w:p w:rsidR="00BE6A37" w:rsidRPr="00CE4F6E" w:rsidRDefault="00B839F1" w:rsidP="002E5181">
      <w:pPr>
        <w:pStyle w:val="Textosinformato"/>
        <w:tabs>
          <w:tab w:val="left" w:pos="1843"/>
          <w:tab w:val="left" w:pos="4111"/>
          <w:tab w:val="left" w:pos="7230"/>
        </w:tabs>
        <w:spacing w:line="480" w:lineRule="auto"/>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116C38">
        <w:rPr>
          <w:rFonts w:ascii="Arial" w:hAnsi="Arial" w:cs="Times New Roman"/>
          <w:b/>
          <w:sz w:val="22"/>
          <w:u w:val="single"/>
          <w:lang w:val="es-ES_tradnl" w:eastAsia="es-AR"/>
        </w:rPr>
        <w:t>I</w:t>
      </w:r>
      <w:r w:rsidR="003E611C">
        <w:rPr>
          <w:rFonts w:ascii="Arial" w:hAnsi="Arial" w:cs="Times New Roman"/>
          <w:b/>
          <w:sz w:val="22"/>
          <w:u w:val="single"/>
          <w:lang w:val="es-ES_tradnl" w:eastAsia="es-AR"/>
        </w:rPr>
        <w:t xml:space="preserve"> a la Resolución </w:t>
      </w:r>
      <w:proofErr w:type="spellStart"/>
      <w:r w:rsidR="003E611C">
        <w:rPr>
          <w:rFonts w:ascii="Arial" w:hAnsi="Arial" w:cs="Times New Roman"/>
          <w:b/>
          <w:sz w:val="22"/>
          <w:u w:val="single"/>
          <w:lang w:val="es-ES_tradnl" w:eastAsia="es-AR"/>
        </w:rPr>
        <w:t>ENRE</w:t>
      </w:r>
      <w:proofErr w:type="spellEnd"/>
      <w:r w:rsidR="003E611C">
        <w:rPr>
          <w:rFonts w:ascii="Arial" w:hAnsi="Arial" w:cs="Times New Roman"/>
          <w:b/>
          <w:sz w:val="22"/>
          <w:u w:val="single"/>
          <w:lang w:val="es-ES_tradnl" w:eastAsia="es-AR"/>
        </w:rPr>
        <w:t xml:space="preserve"> Nº </w:t>
      </w:r>
      <w:bookmarkStart w:id="0" w:name="_GoBack"/>
      <w:bookmarkEnd w:id="0"/>
      <w:r w:rsidR="003E611C">
        <w:rPr>
          <w:rFonts w:ascii="Arial" w:hAnsi="Arial" w:cs="Times New Roman"/>
          <w:b/>
          <w:sz w:val="22"/>
          <w:u w:val="single"/>
          <w:lang w:val="es-ES_tradnl" w:eastAsia="es-AR"/>
        </w:rPr>
        <w:t>521</w:t>
      </w:r>
      <w:r w:rsidR="00BE6A37" w:rsidRPr="00CE4F6E">
        <w:rPr>
          <w:rFonts w:ascii="Arial" w:hAnsi="Arial" w:cs="Times New Roman"/>
          <w:b/>
          <w:sz w:val="22"/>
          <w:u w:val="single"/>
          <w:lang w:val="es-ES_tradnl" w:eastAsia="es-AR"/>
        </w:rPr>
        <w:t>/2017</w:t>
      </w:r>
    </w:p>
    <w:p w:rsidR="00CE4F6E" w:rsidRPr="00CE4F6E" w:rsidRDefault="00CE4F6E" w:rsidP="002E5181">
      <w:pPr>
        <w:pStyle w:val="Textosinformato"/>
        <w:tabs>
          <w:tab w:val="left" w:pos="1843"/>
          <w:tab w:val="left" w:pos="4111"/>
          <w:tab w:val="left" w:pos="7230"/>
        </w:tabs>
        <w:spacing w:line="480" w:lineRule="auto"/>
        <w:jc w:val="both"/>
        <w:rPr>
          <w:rFonts w:ascii="Arial" w:hAnsi="Arial" w:cs="Times New Roman"/>
          <w:b/>
          <w:sz w:val="22"/>
          <w:u w:val="single"/>
          <w:lang w:val="es-ES_tradnl" w:eastAsia="es-AR"/>
        </w:rPr>
      </w:pPr>
    </w:p>
    <w:p w:rsidR="00116C38" w:rsidRPr="00116C38" w:rsidRDefault="00BB10C3" w:rsidP="002E5181">
      <w:pPr>
        <w:shd w:val="clear" w:color="auto" w:fill="FFFFFF"/>
        <w:spacing w:after="0" w:line="480" w:lineRule="auto"/>
        <w:jc w:val="both"/>
        <w:rPr>
          <w:rFonts w:ascii="Arial" w:hAnsi="Arial" w:cs="Times New Roman"/>
          <w:b/>
          <w:u w:val="single"/>
          <w:lang w:val="es-ES_tradnl" w:eastAsia="es-AR"/>
        </w:rPr>
      </w:pPr>
      <w:r w:rsidRPr="00BB10C3">
        <w:rPr>
          <w:rFonts w:ascii="Arial" w:hAnsi="Arial" w:cs="Times New Roman"/>
          <w:b/>
          <w:u w:val="single"/>
          <w:lang w:val="es-ES_tradnl" w:eastAsia="es-AR"/>
        </w:rPr>
        <w:t xml:space="preserve">Mecanismo de actualización de la remuneración de la </w:t>
      </w:r>
      <w:r w:rsidR="00116C38" w:rsidRPr="00116C38">
        <w:rPr>
          <w:rFonts w:ascii="Arial" w:hAnsi="Arial" w:cs="Times New Roman"/>
          <w:b/>
          <w:u w:val="single"/>
          <w:lang w:val="es-ES_tradnl" w:eastAsia="es-AR"/>
        </w:rPr>
        <w:t>Empresa de Transporte de Energía Eléctrica por Distribución Troncal de Cuyo Soc</w:t>
      </w:r>
      <w:r w:rsidR="00116C38">
        <w:rPr>
          <w:rFonts w:ascii="Arial" w:hAnsi="Arial" w:cs="Times New Roman"/>
          <w:b/>
          <w:u w:val="single"/>
          <w:lang w:val="es-ES_tradnl" w:eastAsia="es-AR"/>
        </w:rPr>
        <w:t>iedad Anónima (DISTROCUYO S.A.)</w:t>
      </w:r>
    </w:p>
    <w:p w:rsidR="00BB10C3" w:rsidRPr="00BB10C3" w:rsidRDefault="00BB10C3" w:rsidP="002E5181">
      <w:pPr>
        <w:pStyle w:val="Textosinformato"/>
        <w:tabs>
          <w:tab w:val="left" w:pos="1843"/>
          <w:tab w:val="left" w:pos="4111"/>
          <w:tab w:val="left" w:pos="7230"/>
        </w:tabs>
        <w:spacing w:line="480" w:lineRule="auto"/>
        <w:jc w:val="both"/>
        <w:rPr>
          <w:rFonts w:ascii="Arial" w:hAnsi="Arial" w:cs="Times New Roman"/>
          <w:b/>
          <w:sz w:val="22"/>
          <w:u w:val="single"/>
          <w:lang w:val="es-ES_tradnl" w:eastAsia="es-AR"/>
        </w:rPr>
      </w:pPr>
    </w:p>
    <w:p w:rsidR="00BE6A37" w:rsidRDefault="00BE6A37" w:rsidP="002E5181">
      <w:pPr>
        <w:spacing w:after="0" w:line="48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2E5181">
      <w:pPr>
        <w:spacing w:after="0" w:line="48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2E5181">
      <w:pPr>
        <w:spacing w:after="0" w:line="48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A66D21">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2E5181">
      <w:pPr>
        <w:spacing w:after="0" w:line="480" w:lineRule="auto"/>
        <w:contextualSpacing/>
        <w:jc w:val="both"/>
        <w:rPr>
          <w:rFonts w:ascii="Arial" w:eastAsia="Times New Roman" w:hAnsi="Arial" w:cs="Arial"/>
          <w:lang w:val="es-ES" w:eastAsia="es-ES"/>
        </w:rPr>
      </w:pPr>
    </w:p>
    <w:p w:rsidR="00BE6A37" w:rsidRDefault="00BE6A37" w:rsidP="002E5181">
      <w:pPr>
        <w:widowControl w:val="0"/>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2E5181">
      <w:pPr>
        <w:widowControl w:val="0"/>
        <w:spacing w:after="0" w:line="480" w:lineRule="auto"/>
        <w:jc w:val="both"/>
        <w:rPr>
          <w:rFonts w:ascii="Arial" w:eastAsia="Times New Roman" w:hAnsi="Arial" w:cs="Arial"/>
          <w:lang w:val="es-ES" w:eastAsia="es-ES"/>
        </w:rPr>
      </w:pPr>
    </w:p>
    <w:p w:rsidR="00B839F1" w:rsidRDefault="00B839F1" w:rsidP="002E5181">
      <w:pPr>
        <w:pStyle w:val="Prrafodelista"/>
        <w:widowControl w:val="0"/>
        <w:spacing w:after="0" w:line="480" w:lineRule="auto"/>
        <w:ind w:left="0"/>
        <w:jc w:val="both"/>
        <w:rPr>
          <w:rFonts w:ascii="Arial" w:eastAsia="Times New Roman" w:hAnsi="Arial" w:cs="Arial"/>
          <w:lang w:val="en-US" w:eastAsia="es-ES"/>
        </w:rPr>
      </w:pPr>
      <w:proofErr w:type="spellStart"/>
      <w:r w:rsidRPr="00B839F1">
        <w:rPr>
          <w:rFonts w:ascii="Arial" w:eastAsia="Times New Roman" w:hAnsi="Arial" w:cs="Arial"/>
          <w:lang w:val="en-US" w:eastAsia="es-ES"/>
        </w:rPr>
        <w:t>CGn</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w:t>
      </w:r>
      <w:proofErr w:type="spellEnd"/>
      <w:r w:rsidRPr="00B839F1">
        <w:rPr>
          <w:rFonts w:ascii="Arial" w:eastAsia="Times New Roman" w:hAnsi="Arial" w:cs="Arial"/>
          <w:lang w:val="en-US" w:eastAsia="es-ES"/>
        </w:rPr>
        <w:t xml:space="preserve"> * 0</w:t>
      </w:r>
      <w:proofErr w:type="gramStart"/>
      <w:r w:rsidRPr="00B839F1">
        <w:rPr>
          <w:rFonts w:ascii="Arial" w:eastAsia="Times New Roman" w:hAnsi="Arial" w:cs="Arial"/>
          <w:lang w:val="en-US" w:eastAsia="es-ES"/>
        </w:rPr>
        <w:t>,67</w:t>
      </w:r>
      <w:proofErr w:type="gram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IPIMn-i</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IPCn</w:t>
      </w:r>
      <w:proofErr w:type="spellEnd"/>
      <w:r w:rsidRPr="00B839F1">
        <w:rPr>
          <w:rFonts w:ascii="Arial" w:eastAsia="Times New Roman" w:hAnsi="Arial" w:cs="Arial"/>
          <w:lang w:val="en-US" w:eastAsia="es-ES"/>
        </w:rPr>
        <w:t xml:space="preserve"> * 0,33 / </w:t>
      </w:r>
      <w:proofErr w:type="spellStart"/>
      <w:r w:rsidRPr="00B839F1">
        <w:rPr>
          <w:rFonts w:ascii="Arial" w:eastAsia="Times New Roman" w:hAnsi="Arial" w:cs="Arial"/>
          <w:lang w:val="en-US" w:eastAsia="es-ES"/>
        </w:rPr>
        <w:t>IPCn-i</w:t>
      </w:r>
      <w:proofErr w:type="spellEnd"/>
      <w:r w:rsidRPr="00B839F1">
        <w:rPr>
          <w:rFonts w:ascii="Arial" w:eastAsia="Times New Roman" w:hAnsi="Arial" w:cs="Arial"/>
          <w:lang w:val="en-US" w:eastAsia="es-ES"/>
        </w:rPr>
        <w:t>) &gt; = 5%</w:t>
      </w:r>
    </w:p>
    <w:p w:rsidR="00B839F1" w:rsidRPr="00B839F1" w:rsidRDefault="00B839F1" w:rsidP="002E5181">
      <w:pPr>
        <w:pStyle w:val="Prrafodelista"/>
        <w:widowControl w:val="0"/>
        <w:spacing w:after="0" w:line="480" w:lineRule="auto"/>
        <w:ind w:left="0"/>
        <w:jc w:val="both"/>
        <w:rPr>
          <w:rFonts w:ascii="Arial" w:eastAsia="Times New Roman" w:hAnsi="Arial" w:cs="Arial"/>
          <w:lang w:val="en-US" w:eastAsia="es-ES"/>
        </w:rPr>
      </w:pPr>
    </w:p>
    <w:p w:rsid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Si </w:t>
      </w: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xml:space="preserve">&lt; 5%, el valor de i se corresponde con la cantidad de semestres necesarios hasta </w:t>
      </w:r>
      <w:r w:rsidRPr="00B839F1">
        <w:rPr>
          <w:rFonts w:ascii="Arial" w:eastAsia="Times New Roman" w:hAnsi="Arial" w:cs="Arial"/>
          <w:lang w:val="es-ES" w:eastAsia="es-ES"/>
        </w:rPr>
        <w:lastRenderedPageBreak/>
        <w:t>alcanzar dicho valor.</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Pr="00B839F1" w:rsidRDefault="00B839F1" w:rsidP="002E5181">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cláusula gatillo correspondiente al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Pr="00B839F1" w:rsidRDefault="00B839F1" w:rsidP="002E5181">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IPIMn</w:t>
      </w:r>
      <w:proofErr w:type="spellEnd"/>
      <w:r w:rsidRPr="00B839F1">
        <w:rPr>
          <w:rFonts w:ascii="Arial" w:eastAsia="Times New Roman" w:hAnsi="Arial" w:cs="Arial"/>
          <w:lang w:val="es-ES" w:eastAsia="es-ES"/>
        </w:rPr>
        <w:t>: índice de Precios Internos al por Mayor nivel general (IPIM) publicado por el INDEC correspondiente al mes "m-2", siendo "m" el primer mes del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2E5181">
      <w:pPr>
        <w:pStyle w:val="Prrafodelista"/>
        <w:widowControl w:val="0"/>
        <w:spacing w:after="0" w:line="480" w:lineRule="auto"/>
        <w:ind w:left="0"/>
        <w:jc w:val="both"/>
        <w:rPr>
          <w:rFonts w:ascii="Arial" w:eastAsia="Times New Roman" w:hAnsi="Arial" w:cs="Arial"/>
          <w:lang w:val="es-ES" w:eastAsia="es-ES"/>
        </w:rPr>
      </w:pP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2E5181">
      <w:pPr>
        <w:pStyle w:val="Prrafodelista"/>
        <w:widowControl w:val="0"/>
        <w:spacing w:after="0" w:line="480" w:lineRule="auto"/>
        <w:ind w:left="0"/>
        <w:jc w:val="both"/>
        <w:rPr>
          <w:rFonts w:ascii="Arial" w:eastAsia="Times New Roman" w:hAnsi="Arial" w:cs="Arial"/>
          <w:lang w:val="es-ES" w:eastAsia="es-ES"/>
        </w:rPr>
      </w:pPr>
    </w:p>
    <w:p w:rsid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Ahora bien, teniendo en cuenta que este límite impuesto a la cláusula gatillo (5%) representa el 30% de la inflación prevista para el año 2017 contemplada en el Presupuesto Nacional, a los efectos de establecer un sendero que acompañe la evolución de los precios de la </w:t>
      </w:r>
      <w:r w:rsidRPr="00B839F1">
        <w:rPr>
          <w:rFonts w:ascii="Arial" w:eastAsia="Times New Roman" w:hAnsi="Arial" w:cs="Arial"/>
          <w:lang w:val="es-ES" w:eastAsia="es-ES"/>
        </w:rPr>
        <w:lastRenderedPageBreak/>
        <w:t>economía para los próximos años del período tarifario, se ajustará el porcentaje dispuesto para esta cláusula de acuerdo a la inflación prevista anualmente por el Poder Ejecutivo Nacional en los sucesivos Presupuestos, manteniendo dicha relación (30%).</w:t>
      </w:r>
    </w:p>
    <w:p w:rsidR="00B839F1" w:rsidRPr="00B839F1" w:rsidRDefault="00B839F1" w:rsidP="002E5181">
      <w:pPr>
        <w:widowControl w:val="0"/>
        <w:spacing w:after="0" w:line="480" w:lineRule="auto"/>
        <w:jc w:val="both"/>
        <w:rPr>
          <w:rFonts w:ascii="Arial" w:eastAsia="Times New Roman" w:hAnsi="Arial" w:cs="Arial"/>
          <w:lang w:val="es-ES" w:eastAsia="es-ES"/>
        </w:rPr>
      </w:pPr>
    </w:p>
    <w:p w:rsid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2E5181">
      <w:pPr>
        <w:widowControl w:val="0"/>
        <w:spacing w:after="0" w:line="480" w:lineRule="auto"/>
        <w:jc w:val="both"/>
        <w:rPr>
          <w:rFonts w:ascii="Arial" w:eastAsia="Times New Roman" w:hAnsi="Arial" w:cs="Arial"/>
          <w:lang w:val="es-ES" w:eastAsia="es-ES"/>
        </w:rPr>
      </w:pPr>
    </w:p>
    <w:p w:rsidR="00BE6A37" w:rsidRPr="00B839F1" w:rsidRDefault="00BE6A37" w:rsidP="00A66D21">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2E5181">
      <w:pPr>
        <w:widowControl w:val="0"/>
        <w:spacing w:after="0" w:line="480" w:lineRule="auto"/>
        <w:jc w:val="both"/>
        <w:rPr>
          <w:rFonts w:ascii="Arial" w:eastAsia="Times New Roman" w:hAnsi="Arial" w:cs="Arial"/>
          <w:lang w:val="es-ES" w:eastAsia="es-ES"/>
        </w:rPr>
      </w:pPr>
    </w:p>
    <w:p w:rsidR="00BE6A37" w:rsidRPr="003C42AF" w:rsidRDefault="00BE6A37" w:rsidP="002E5181">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na vez disparada la cláusula gatillo (</w:t>
      </w:r>
      <w:proofErr w:type="spellStart"/>
      <w:r w:rsidRPr="003C42AF">
        <w:rPr>
          <w:rFonts w:ascii="Arial" w:eastAsia="Times New Roman" w:hAnsi="Arial" w:cs="Arial"/>
          <w:lang w:val="es-ES" w:eastAsia="es-ES"/>
        </w:rPr>
        <w:t>CGn</w:t>
      </w:r>
      <w:proofErr w:type="spellEnd"/>
      <w:r w:rsidRPr="003C42AF">
        <w:rPr>
          <w:rFonts w:ascii="Arial" w:eastAsia="Times New Roman" w:hAnsi="Arial" w:cs="Arial"/>
          <w:lang w:val="es-ES" w:eastAsia="es-ES"/>
        </w:rPr>
        <w:t xml:space="preserve">)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2E5181">
      <w:pPr>
        <w:widowControl w:val="0"/>
        <w:spacing w:after="0" w:line="480" w:lineRule="auto"/>
        <w:jc w:val="both"/>
        <w:rPr>
          <w:rFonts w:ascii="Arial" w:eastAsia="Times New Roman" w:hAnsi="Arial" w:cs="Arial"/>
          <w:lang w:val="es-ES" w:eastAsia="es-ES"/>
        </w:rPr>
      </w:pPr>
    </w:p>
    <w:p w:rsidR="00BB10C3" w:rsidRDefault="00BB10C3" w:rsidP="002E5181">
      <w:pPr>
        <w:widowControl w:val="0"/>
        <w:spacing w:after="0" w:line="480" w:lineRule="auto"/>
        <w:jc w:val="both"/>
        <w:rPr>
          <w:rFonts w:ascii="Arial" w:eastAsia="Times New Roman" w:hAnsi="Arial" w:cs="Arial"/>
          <w:lang w:val="es-ES" w:eastAsia="es-ES"/>
        </w:rPr>
      </w:pPr>
      <w:r w:rsidRPr="00BB10C3">
        <w:rPr>
          <w:rFonts w:ascii="Arial" w:eastAsia="Times New Roman" w:hAnsi="Arial" w:cs="Arial"/>
          <w:lang w:val="es-ES" w:eastAsia="es-ES"/>
        </w:rPr>
        <w:t>Rn = (0,</w:t>
      </w:r>
      <w:r w:rsidR="00116C38">
        <w:rPr>
          <w:rFonts w:ascii="Arial" w:eastAsia="Times New Roman" w:hAnsi="Arial" w:cs="Arial"/>
          <w:lang w:val="es-ES" w:eastAsia="es-ES"/>
        </w:rPr>
        <w:t>4074</w:t>
      </w:r>
      <w:r w:rsidRPr="00BB10C3">
        <w:rPr>
          <w:rFonts w:ascii="Arial" w:eastAsia="Times New Roman" w:hAnsi="Arial" w:cs="Arial"/>
          <w:lang w:val="es-ES" w:eastAsia="es-ES"/>
        </w:rPr>
        <w:t xml:space="preserve"> * ISn/ISo + 0,</w:t>
      </w:r>
      <w:r w:rsidR="00116C38">
        <w:rPr>
          <w:rFonts w:ascii="Arial" w:eastAsia="Times New Roman" w:hAnsi="Arial" w:cs="Arial"/>
          <w:lang w:val="es-ES" w:eastAsia="es-ES"/>
        </w:rPr>
        <w:t>4206</w:t>
      </w:r>
      <w:r w:rsidRPr="00BB10C3">
        <w:rPr>
          <w:rFonts w:ascii="Arial" w:eastAsia="Times New Roman" w:hAnsi="Arial" w:cs="Arial"/>
          <w:lang w:val="es-ES" w:eastAsia="es-ES"/>
        </w:rPr>
        <w:t xml:space="preserve"> * IPIMDn/IPIMDo + 0,</w:t>
      </w:r>
      <w:r w:rsidR="00116C38">
        <w:rPr>
          <w:rFonts w:ascii="Arial" w:eastAsia="Times New Roman" w:hAnsi="Arial" w:cs="Arial"/>
          <w:lang w:val="es-ES" w:eastAsia="es-ES"/>
        </w:rPr>
        <w:t>1719</w:t>
      </w:r>
      <w:r w:rsidRPr="00BB10C3">
        <w:rPr>
          <w:rFonts w:ascii="Arial" w:eastAsia="Times New Roman" w:hAnsi="Arial" w:cs="Arial"/>
          <w:lang w:val="es-ES" w:eastAsia="es-ES"/>
        </w:rPr>
        <w:t xml:space="preserve"> * IPCn/</w:t>
      </w:r>
      <w:proofErr w:type="gramStart"/>
      <w:r w:rsidRPr="00BB10C3">
        <w:rPr>
          <w:rFonts w:ascii="Arial" w:eastAsia="Times New Roman" w:hAnsi="Arial" w:cs="Arial"/>
          <w:lang w:val="es-ES" w:eastAsia="es-ES"/>
        </w:rPr>
        <w:t>IPCo )</w:t>
      </w:r>
      <w:proofErr w:type="gramEnd"/>
      <w:r w:rsidRPr="00BB10C3">
        <w:rPr>
          <w:rFonts w:ascii="Arial" w:eastAsia="Times New Roman" w:hAnsi="Arial" w:cs="Arial"/>
          <w:lang w:val="es-ES" w:eastAsia="es-ES"/>
        </w:rPr>
        <w:t xml:space="preserve"> * Ro</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ISn: índice de salarios nivel general (IS) publicado por el INDEC correspondiente al mes "m-2", siendo "m" el primer mes del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ISo: índice de salarios nivel general (IS) publicado por el INDEC, correspondiente al mes "k-2", siendo 'k' el mes de febrero 2017.</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IPIMDn: índice de Precios Internos al por Mayor (IPIM), apertura D “Productos Manufacturados” elaborado por el INDEC, correspondiente al mes "m-2", siendo "m" el primer mes del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IPIMDo: índice de Precios Internos al por Mayor (IPIM), apertura D “Productos </w:t>
      </w:r>
      <w:r w:rsidRPr="00B839F1">
        <w:rPr>
          <w:rFonts w:ascii="Arial" w:eastAsia="Times New Roman" w:hAnsi="Arial" w:cs="Arial"/>
          <w:lang w:val="es-ES" w:eastAsia="es-ES"/>
        </w:rPr>
        <w:lastRenderedPageBreak/>
        <w:t>Manufacturados” elaborado por el INDEC, correspondiente al mes "k-2", siendo 'k' el mes de febrero 2017.</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2E5181">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IPCo: índice de precios al consumidor nivel general (IPC) publicado por el INDEC, correspondiente al mes "k-2", siendo "k" el mes de febrero 2017.</w:t>
      </w:r>
    </w:p>
    <w:p w:rsidR="00BE6A37" w:rsidRPr="003C42AF" w:rsidRDefault="00BE6A37" w:rsidP="002E5181">
      <w:pPr>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rsidP="002E5181">
      <w:pPr>
        <w:spacing w:after="0" w:line="480" w:lineRule="auto"/>
        <w:jc w:val="both"/>
        <w:rPr>
          <w:rFonts w:ascii="Times New Roman" w:hAnsi="Times New Roman" w:cs="Times New Roman"/>
        </w:rPr>
      </w:pPr>
    </w:p>
    <w:sectPr w:rsidR="00CD55BD" w:rsidRPr="00562AE4" w:rsidSect="00A66D21">
      <w:headerReference w:type="default" r:id="rId7"/>
      <w:pgSz w:w="11907" w:h="16839" w:code="9"/>
      <w:pgMar w:top="2552" w:right="70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C0" w:rsidRDefault="00231DC0" w:rsidP="00231DC0">
      <w:pPr>
        <w:spacing w:after="0" w:line="240" w:lineRule="auto"/>
      </w:pPr>
      <w:r>
        <w:separator/>
      </w:r>
    </w:p>
  </w:endnote>
  <w:endnote w:type="continuationSeparator" w:id="0">
    <w:p w:rsidR="00231DC0" w:rsidRDefault="00231DC0" w:rsidP="0023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C0" w:rsidRDefault="00231DC0" w:rsidP="00231DC0">
      <w:pPr>
        <w:spacing w:after="0" w:line="240" w:lineRule="auto"/>
      </w:pPr>
      <w:r>
        <w:separator/>
      </w:r>
    </w:p>
  </w:footnote>
  <w:footnote w:type="continuationSeparator" w:id="0">
    <w:p w:rsidR="00231DC0" w:rsidRDefault="00231DC0" w:rsidP="0023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9180"/>
      <w:gridCol w:w="222"/>
    </w:tblGrid>
    <w:tr w:rsidR="00231DC0" w:rsidTr="00231DC0">
      <w:tc>
        <w:tcPr>
          <w:tcW w:w="4253" w:type="dxa"/>
        </w:tcPr>
        <w:tbl>
          <w:tblPr>
            <w:tblW w:w="8964" w:type="dxa"/>
            <w:tblLook w:val="05E0" w:firstRow="1" w:lastRow="1" w:firstColumn="1" w:lastColumn="1" w:noHBand="0" w:noVBand="1"/>
          </w:tblPr>
          <w:tblGrid>
            <w:gridCol w:w="2466"/>
            <w:gridCol w:w="6498"/>
          </w:tblGrid>
          <w:tr w:rsidR="002E5181" w:rsidTr="00A66D21">
            <w:tc>
              <w:tcPr>
                <w:tcW w:w="2466" w:type="dxa"/>
              </w:tcPr>
              <w:p w:rsidR="002E5181" w:rsidRDefault="002E5181">
                <w:pPr>
                  <w:pStyle w:val="Encabezado"/>
                </w:pPr>
                <w:r>
                  <w:rPr>
                    <w:noProof/>
                    <w:lang w:eastAsia="es-AR"/>
                  </w:rPr>
                  <w:drawing>
                    <wp:inline distT="0" distB="0" distL="0" distR="0">
                      <wp:extent cx="1428750" cy="714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6498" w:type="dxa"/>
              </w:tcPr>
              <w:p w:rsidR="002E5181" w:rsidRDefault="002E5181" w:rsidP="002E5181">
                <w:pPr>
                  <w:pStyle w:val="Encabezado"/>
                  <w:jc w:val="right"/>
                </w:pPr>
                <w:r>
                  <w:rPr>
                    <w:noProof/>
                    <w:lang w:eastAsia="es-AR"/>
                  </w:rPr>
                  <w:drawing>
                    <wp:inline distT="0" distB="0" distL="0" distR="0">
                      <wp:extent cx="2314575" cy="1714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231DC0" w:rsidRDefault="00231DC0">
          <w:pPr>
            <w:pStyle w:val="Encabezado"/>
          </w:pPr>
        </w:p>
      </w:tc>
      <w:tc>
        <w:tcPr>
          <w:tcW w:w="4928" w:type="dxa"/>
        </w:tcPr>
        <w:p w:rsidR="00231DC0" w:rsidRDefault="00231DC0" w:rsidP="00231DC0">
          <w:pPr>
            <w:pStyle w:val="Encabezado"/>
            <w:jc w:val="right"/>
          </w:pPr>
        </w:p>
      </w:tc>
    </w:tr>
  </w:tbl>
  <w:p w:rsidR="00231DC0" w:rsidRDefault="00231D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F3498"/>
    <w:rsid w:val="00116C38"/>
    <w:rsid w:val="00180EDF"/>
    <w:rsid w:val="001D02DF"/>
    <w:rsid w:val="001F04BE"/>
    <w:rsid w:val="00231DC0"/>
    <w:rsid w:val="00284C64"/>
    <w:rsid w:val="002E5181"/>
    <w:rsid w:val="003E611C"/>
    <w:rsid w:val="00562AE4"/>
    <w:rsid w:val="005A4CF3"/>
    <w:rsid w:val="005E3F67"/>
    <w:rsid w:val="00667FF6"/>
    <w:rsid w:val="00904502"/>
    <w:rsid w:val="00A66D21"/>
    <w:rsid w:val="00A8063C"/>
    <w:rsid w:val="00B814FC"/>
    <w:rsid w:val="00B839F1"/>
    <w:rsid w:val="00BB10C3"/>
    <w:rsid w:val="00BE6A37"/>
    <w:rsid w:val="00BF71E1"/>
    <w:rsid w:val="00C74679"/>
    <w:rsid w:val="00CD55BD"/>
    <w:rsid w:val="00CE4F6E"/>
    <w:rsid w:val="00D4010A"/>
    <w:rsid w:val="00D6519D"/>
    <w:rsid w:val="00D8583E"/>
    <w:rsid w:val="00DC0AA2"/>
    <w:rsid w:val="00DF027C"/>
    <w:rsid w:val="00E038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231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0"/>
  </w:style>
  <w:style w:type="paragraph" w:styleId="Piedepgina">
    <w:name w:val="footer"/>
    <w:basedOn w:val="Normal"/>
    <w:link w:val="PiedepginaCar"/>
    <w:uiPriority w:val="99"/>
    <w:unhideWhenUsed/>
    <w:rsid w:val="00231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0"/>
  </w:style>
  <w:style w:type="table" w:styleId="Tablaconcuadrcula">
    <w:name w:val="Table Grid"/>
    <w:basedOn w:val="Tablanormal"/>
    <w:uiPriority w:val="59"/>
    <w:rsid w:val="0023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6</cp:revision>
  <cp:lastPrinted>2017-10-25T20:54:00Z</cp:lastPrinted>
  <dcterms:created xsi:type="dcterms:W3CDTF">2017-10-25T14:49:00Z</dcterms:created>
  <dcterms:modified xsi:type="dcterms:W3CDTF">2017-10-30T18:47:00Z</dcterms:modified>
</cp:coreProperties>
</file>